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泗水县食品加工特色产业集群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山东鸿润食品股份有限公司企业分析报告</w:t>
      </w:r>
    </w:p>
    <w:p>
      <w:pPr>
        <w:spacing w:lineRule="exact" w:line="600" w:before="0" w:after="0"/>
        <w:jc w:val="left"/>
      </w:pPr>
      <w:r>
        <w:rPr>
          <w:rFonts w:ascii="仿宋_GB2312" w:hAnsi="仿宋_GB2312" w:eastAsia="仿宋_GB2312"/>
          <w:b w:val="0"/>
          <w:color w:val="000000"/>
          <w:sz w:val="28"/>
        </w:rPr>
        <w:t>（本报告数据来源于全国中小企业股份转让系统（新三板）公开披露的定期报告与公告、国家企业信用信息公示系统、天眼查/爱企查、大众日报等公开渠道，统计时点截至最新披露信息。注：国家企业信用信息公示系统登记的企业名称为"济宁鸿润食品股份有限公司"，本报告依据批次要求统一使用"山东鸿润食品股份有限公司"。）</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鸿润食品股份有限公司（新三板挂牌代码：872568，于2018年1月22日挂牌；国家登记名称为济宁鸿润食品股份有限公司）统一社会信用代码为913708315819263969，成立于2011年9月1日，法定代表人为王德定。公司注册资本19,887.3235万元。公司注册地位于山东省济宁市泗水县，主营禽类屠宰分割及肉制品加工。</w:t>
      </w:r>
    </w:p>
    <w:p>
      <w:pPr>
        <w:spacing w:lineRule="exact" w:line="600" w:before="0" w:after="0"/>
        <w:ind w:firstLine="420"/>
        <w:jc w:val="both"/>
      </w:pPr>
      <w:r>
        <w:rPr>
          <w:rFonts w:ascii="仿宋_GB2312" w:hAnsi="仿宋_GB2312" w:eastAsia="仿宋_GB2312"/>
          <w:b w:val="0"/>
          <w:color w:val="000000"/>
          <w:sz w:val="32"/>
        </w:rPr>
        <w:t>股权结构方面，法定代表人王德定持有公司46.65%股份，为控股股东、实际控制人；王靖壹持股11.43%，与王德定为一致行动人，二人合计控制较高比例表决权。公司参保人数约1,428人（部分口径统计约3,076人），属大型企业，为山东省农业产业化重点龙头企业。</w:t>
      </w:r>
    </w:p>
    <w:tbl>
      <w:tblPr>
        <w:tblStyle w:val="TableGrid"/>
        <w:tblW w:type="auto" w:w="0"/>
        <w:jc w:val="center"/>
        <w:tblLook w:firstColumn="1" w:firstRow="1" w:lastColumn="0" w:lastRow="0" w:noHBand="0" w:noVBand="1" w:val="04A0"/>
      </w:tblPr>
      <w:tblGrid>
        <w:gridCol w:w="4422"/>
        <w:gridCol w:w="4422"/>
      </w:tblGrid>
      <w:tr>
        <w:tc>
          <w:tcPr>
            <w:tcW w:type="dxa" w:w="2835"/>
          </w:tcPr>
          <w:p>
            <w:pPr>
              <w:spacing w:lineRule="exact" w:line="600"/>
              <w:jc w:val="center"/>
            </w:pPr>
            <w:r/>
            <w:r>
              <w:rPr>
                <w:rFonts w:ascii="黑体" w:hAnsi="黑体" w:eastAsia="黑体"/>
                <w:b/>
                <w:color w:val="000000"/>
                <w:sz w:val="32"/>
              </w:rPr>
              <w:t>项目</w:t>
            </w:r>
          </w:p>
        </w:tc>
        <w:tc>
          <w:tcPr>
            <w:tcW w:type="dxa" w:w="6236"/>
          </w:tcPr>
          <w:p>
            <w:pPr>
              <w:spacing w:lineRule="exact" w:line="600"/>
              <w:jc w:val="center"/>
            </w:pPr>
            <w:r/>
            <w:r>
              <w:rPr>
                <w:rFonts w:ascii="黑体" w:hAnsi="黑体" w:eastAsia="黑体"/>
                <w:b/>
                <w:color w:val="000000"/>
                <w:sz w:val="32"/>
              </w:rPr>
              <w:t>内容</w:t>
            </w:r>
          </w:p>
        </w:tc>
      </w:tr>
      <w:tr>
        <w:tc>
          <w:tcPr>
            <w:tcW w:type="dxa" w:w="2835"/>
          </w:tcPr>
          <w:p>
            <w:pPr>
              <w:spacing w:lineRule="exact" w:line="600"/>
              <w:jc w:val="center"/>
            </w:pPr>
            <w:r/>
            <w:r>
              <w:rPr>
                <w:rFonts w:ascii="仿宋_GB2312" w:hAnsi="仿宋_GB2312" w:eastAsia="仿宋_GB2312"/>
                <w:b w:val="0"/>
                <w:color w:val="000000"/>
                <w:sz w:val="32"/>
              </w:rPr>
              <w:t>证券简称/代码</w:t>
            </w:r>
          </w:p>
        </w:tc>
        <w:tc>
          <w:tcPr>
            <w:tcW w:type="dxa" w:w="6236"/>
          </w:tcPr>
          <w:p>
            <w:pPr>
              <w:spacing w:lineRule="exact" w:line="600"/>
              <w:jc w:val="center"/>
            </w:pPr>
            <w:r/>
            <w:r>
              <w:rPr>
                <w:rFonts w:ascii="仿宋_GB2312" w:hAnsi="仿宋_GB2312" w:eastAsia="仿宋_GB2312"/>
                <w:b w:val="0"/>
                <w:color w:val="000000"/>
                <w:sz w:val="32"/>
              </w:rPr>
              <w:t>鸿润食品 / 872568（新三板）</w:t>
            </w:r>
          </w:p>
        </w:tc>
      </w:tr>
      <w:tr>
        <w:tc>
          <w:tcPr>
            <w:tcW w:type="dxa" w:w="2835"/>
          </w:tcPr>
          <w:p>
            <w:pPr>
              <w:spacing w:lineRule="exact" w:line="600"/>
              <w:jc w:val="center"/>
            </w:pPr>
            <w:r/>
            <w:r>
              <w:rPr>
                <w:rFonts w:ascii="仿宋_GB2312" w:hAnsi="仿宋_GB2312" w:eastAsia="仿宋_GB2312"/>
                <w:b w:val="0"/>
                <w:color w:val="000000"/>
                <w:sz w:val="32"/>
              </w:rPr>
              <w:t>统一社会信用代码</w:t>
            </w:r>
          </w:p>
        </w:tc>
        <w:tc>
          <w:tcPr>
            <w:tcW w:type="dxa" w:w="6236"/>
          </w:tcPr>
          <w:p>
            <w:pPr>
              <w:spacing w:lineRule="exact" w:line="600"/>
              <w:jc w:val="center"/>
            </w:pPr>
            <w:r/>
            <w:r>
              <w:rPr>
                <w:rFonts w:ascii="仿宋_GB2312" w:hAnsi="仿宋_GB2312" w:eastAsia="仿宋_GB2312"/>
                <w:b w:val="0"/>
                <w:color w:val="000000"/>
                <w:sz w:val="32"/>
              </w:rPr>
              <w:t>913708315819263969</w:t>
            </w:r>
          </w:p>
        </w:tc>
      </w:tr>
      <w:tr>
        <w:tc>
          <w:tcPr>
            <w:tcW w:type="dxa" w:w="2835"/>
          </w:tcPr>
          <w:p>
            <w:pPr>
              <w:spacing w:lineRule="exact" w:line="600"/>
              <w:jc w:val="center"/>
            </w:pPr>
            <w:r/>
            <w:r>
              <w:rPr>
                <w:rFonts w:ascii="仿宋_GB2312" w:hAnsi="仿宋_GB2312" w:eastAsia="仿宋_GB2312"/>
                <w:b w:val="0"/>
                <w:color w:val="000000"/>
                <w:sz w:val="32"/>
              </w:rPr>
              <w:t>成立日期</w:t>
            </w:r>
          </w:p>
        </w:tc>
        <w:tc>
          <w:tcPr>
            <w:tcW w:type="dxa" w:w="6236"/>
          </w:tcPr>
          <w:p>
            <w:pPr>
              <w:spacing w:lineRule="exact" w:line="600"/>
              <w:jc w:val="center"/>
            </w:pPr>
            <w:r/>
            <w:r>
              <w:rPr>
                <w:rFonts w:ascii="仿宋_GB2312" w:hAnsi="仿宋_GB2312" w:eastAsia="仿宋_GB2312"/>
                <w:b w:val="0"/>
                <w:color w:val="000000"/>
                <w:sz w:val="32"/>
              </w:rPr>
              <w:t>2011年9月1日</w:t>
            </w:r>
          </w:p>
        </w:tc>
      </w:tr>
      <w:tr>
        <w:tc>
          <w:tcPr>
            <w:tcW w:type="dxa" w:w="2835"/>
          </w:tcPr>
          <w:p>
            <w:pPr>
              <w:spacing w:lineRule="exact" w:line="600"/>
              <w:jc w:val="center"/>
            </w:pPr>
            <w:r/>
            <w:r>
              <w:rPr>
                <w:rFonts w:ascii="仿宋_GB2312" w:hAnsi="仿宋_GB2312" w:eastAsia="仿宋_GB2312"/>
                <w:b w:val="0"/>
                <w:color w:val="000000"/>
                <w:sz w:val="32"/>
              </w:rPr>
              <w:t>法定代表人</w:t>
            </w:r>
          </w:p>
        </w:tc>
        <w:tc>
          <w:tcPr>
            <w:tcW w:type="dxa" w:w="6236"/>
          </w:tcPr>
          <w:p>
            <w:pPr>
              <w:spacing w:lineRule="exact" w:line="600"/>
              <w:jc w:val="center"/>
            </w:pPr>
            <w:r/>
            <w:r>
              <w:rPr>
                <w:rFonts w:ascii="仿宋_GB2312" w:hAnsi="仿宋_GB2312" w:eastAsia="仿宋_GB2312"/>
                <w:b w:val="0"/>
                <w:color w:val="000000"/>
                <w:sz w:val="32"/>
              </w:rPr>
              <w:t>王德定</w:t>
            </w:r>
          </w:p>
        </w:tc>
      </w:tr>
      <w:tr>
        <w:tc>
          <w:tcPr>
            <w:tcW w:type="dxa" w:w="2835"/>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19,887.3235万元人民币</w:t>
            </w:r>
          </w:p>
        </w:tc>
      </w:tr>
      <w:tr>
        <w:tc>
          <w:tcPr>
            <w:tcW w:type="dxa" w:w="2835"/>
          </w:tcPr>
          <w:p>
            <w:pPr>
              <w:spacing w:lineRule="exact" w:line="600"/>
              <w:jc w:val="center"/>
            </w:pPr>
            <w:r/>
            <w:r>
              <w:rPr>
                <w:rFonts w:ascii="仿宋_GB2312" w:hAnsi="仿宋_GB2312" w:eastAsia="仿宋_GB2312"/>
                <w:b w:val="0"/>
                <w:color w:val="000000"/>
                <w:sz w:val="32"/>
              </w:rPr>
              <w:t>控股股东/实控人</w:t>
            </w:r>
          </w:p>
        </w:tc>
        <w:tc>
          <w:tcPr>
            <w:tcW w:type="dxa" w:w="6236"/>
          </w:tcPr>
          <w:p>
            <w:pPr>
              <w:spacing w:lineRule="exact" w:line="600"/>
              <w:jc w:val="center"/>
            </w:pPr>
            <w:r/>
            <w:r>
              <w:rPr>
                <w:rFonts w:ascii="仿宋_GB2312" w:hAnsi="仿宋_GB2312" w:eastAsia="仿宋_GB2312"/>
                <w:b w:val="0"/>
                <w:color w:val="000000"/>
                <w:sz w:val="32"/>
              </w:rPr>
              <w:t>王德定（46.65%）</w:t>
            </w:r>
          </w:p>
        </w:tc>
      </w:tr>
      <w:tr>
        <w:tc>
          <w:tcPr>
            <w:tcW w:type="dxa" w:w="2835"/>
          </w:tcPr>
          <w:p>
            <w:pPr>
              <w:spacing w:lineRule="exact" w:line="600"/>
              <w:jc w:val="center"/>
            </w:pPr>
            <w:r/>
            <w:r>
              <w:rPr>
                <w:rFonts w:ascii="仿宋_GB2312" w:hAnsi="仿宋_GB2312" w:eastAsia="仿宋_GB2312"/>
                <w:b w:val="0"/>
                <w:color w:val="000000"/>
                <w:sz w:val="32"/>
              </w:rPr>
              <w:t>一致行动人</w:t>
            </w:r>
          </w:p>
        </w:tc>
        <w:tc>
          <w:tcPr>
            <w:tcW w:type="dxa" w:w="6236"/>
          </w:tcPr>
          <w:p>
            <w:pPr>
              <w:spacing w:lineRule="exact" w:line="600"/>
              <w:jc w:val="center"/>
            </w:pPr>
            <w:r/>
            <w:r>
              <w:rPr>
                <w:rFonts w:ascii="仿宋_GB2312" w:hAnsi="仿宋_GB2312" w:eastAsia="仿宋_GB2312"/>
                <w:b w:val="0"/>
                <w:color w:val="000000"/>
                <w:sz w:val="32"/>
              </w:rPr>
              <w:t>王靖壹（11.43%）</w:t>
            </w:r>
          </w:p>
        </w:tc>
      </w:tr>
      <w:tr>
        <w:tc>
          <w:tcPr>
            <w:tcW w:type="dxa" w:w="2835"/>
          </w:tcPr>
          <w:p>
            <w:pPr>
              <w:spacing w:lineRule="exact" w:line="600"/>
              <w:jc w:val="center"/>
            </w:pPr>
            <w:r/>
            <w:r>
              <w:rPr>
                <w:rFonts w:ascii="仿宋_GB2312" w:hAnsi="仿宋_GB2312" w:eastAsia="仿宋_GB2312"/>
                <w:b w:val="0"/>
                <w:color w:val="000000"/>
                <w:sz w:val="32"/>
              </w:rPr>
              <w:t>参保人数</w:t>
            </w:r>
          </w:p>
        </w:tc>
        <w:tc>
          <w:tcPr>
            <w:tcW w:type="dxa" w:w="6236"/>
          </w:tcPr>
          <w:p>
            <w:pPr>
              <w:spacing w:lineRule="exact" w:line="600"/>
              <w:jc w:val="center"/>
            </w:pPr>
            <w:r/>
            <w:r>
              <w:rPr>
                <w:rFonts w:ascii="仿宋_GB2312" w:hAnsi="仿宋_GB2312" w:eastAsia="仿宋_GB2312"/>
                <w:b w:val="0"/>
                <w:color w:val="000000"/>
                <w:sz w:val="32"/>
              </w:rPr>
              <w:t>约1,428人</w:t>
            </w:r>
          </w:p>
        </w:tc>
      </w:tr>
      <w:tr>
        <w:tc>
          <w:tcPr>
            <w:tcW w:type="dxa" w:w="2835"/>
          </w:tcPr>
          <w:p>
            <w:pPr>
              <w:spacing w:lineRule="exact" w:line="600"/>
              <w:jc w:val="center"/>
            </w:pPr>
            <w:r/>
            <w:r>
              <w:rPr>
                <w:rFonts w:ascii="仿宋_GB2312" w:hAnsi="仿宋_GB2312" w:eastAsia="仿宋_GB2312"/>
                <w:b w:val="0"/>
                <w:color w:val="000000"/>
                <w:sz w:val="32"/>
              </w:rPr>
              <w:t>企业资质</w:t>
            </w:r>
          </w:p>
        </w:tc>
        <w:tc>
          <w:tcPr>
            <w:tcW w:type="dxa" w:w="6236"/>
          </w:tcPr>
          <w:p>
            <w:pPr>
              <w:spacing w:lineRule="exact" w:line="600"/>
              <w:jc w:val="center"/>
            </w:pPr>
            <w:r/>
            <w:r>
              <w:rPr>
                <w:rFonts w:ascii="仿宋_GB2312" w:hAnsi="仿宋_GB2312" w:eastAsia="仿宋_GB2312"/>
                <w:b w:val="0"/>
                <w:color w:val="000000"/>
                <w:sz w:val="32"/>
              </w:rPr>
              <w:t>山东省农业产业化重点龙头企业</w:t>
            </w:r>
          </w:p>
        </w:tc>
      </w:tr>
    </w:tbl>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构建了"种苗—养殖—屠宰分割—调理品—熟食"的一体化禽肉产业链，业务板块涵盖肉鸡、肉鸭的屠宰分割、调理制品及熟食加工。公司下设养殖、屠宰、深加工等生产单元，并在销售端设立内销与出口业务体系。</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成立于2011年，2018年1月在新三板挂牌（代码872568）。经过多年发展，公司已成为集种苗繁育、肉禽养殖、屠宰分割、调理休闲食品加工于一体的省级农业龙头企业。2025年公司被认定为山东省农业产业化重点龙头企业。受近年经营业绩下滑影响，公司股票因连续亏损触发降层情形，于2026年5月被调整至基础层。</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禽肉食品全产业链供应商"，主营业务为肉鸡、肉鸭的屠宰分割，以及调理制品、熟食等深加工产品。核心产品包括冰鲜/冷冻鸡产品、鸭产品及调理品，产品构成中鸡产品约占60.75%、鸭产品约占32.63%、调理品约占2.31%。</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公司收入以禽肉屠宰分割为主，鸡产品为第一大收入来源（约占60.75%），鸭产品次之（约32.63%），调理品占比较小（约2.31%）。业务结构呈现以初加工白条/分割品为主的格局，深加工调理品占比有待提升。</w:t>
      </w:r>
    </w:p>
    <w:p>
      <w:pPr>
        <w:spacing w:lineRule="exact" w:line="600" w:before="120" w:after="120"/>
        <w:ind w:firstLine="420"/>
        <w:jc w:val="left"/>
      </w:pPr>
      <w:r>
        <w:rPr>
          <w:rFonts w:ascii="楷体_GB2312" w:hAnsi="楷体_GB2312" w:eastAsia="楷体_GB2312"/>
          <w:b w:val="0"/>
          <w:color w:val="000000"/>
          <w:sz w:val="32"/>
        </w:rPr>
        <w:t>（二）主要产品</w:t>
      </w:r>
    </w:p>
    <w:p>
      <w:pPr>
        <w:spacing w:lineRule="exact" w:line="600" w:before="0" w:after="0"/>
        <w:ind w:firstLine="420"/>
        <w:jc w:val="both"/>
      </w:pPr>
      <w:r>
        <w:rPr>
          <w:rFonts w:ascii="仿宋_GB2312" w:hAnsi="仿宋_GB2312" w:eastAsia="仿宋_GB2312"/>
          <w:b w:val="0"/>
          <w:color w:val="000000"/>
          <w:sz w:val="32"/>
        </w:rPr>
        <w:t>主要产品包括：冷冻/冰鲜鸡分割品、鸭分割品、鸡鸭副产品、调理鸡肉/鸭肉制品、熟食等，主要面向餐饮、食品加工企业及商超农贸渠道，部分产品出口。</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公司客户主要为餐饮连锁、食品加工企业、商超及农贸批发市场，以及出口贸易商。下游餐饮与食品加工需求受宏观经济与消费疲软影响较大。</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上游为禽类养殖户及养殖基地，公司通过自有养殖与"公司+农户"合作模式保障毛鸡、毛鸭供应。饲料成本（玉米、豆粕）价格波动直接影响养殖与屠宰成本。</w:t>
      </w:r>
    </w:p>
    <w:p>
      <w:pPr>
        <w:spacing w:lineRule="exact" w:line="600" w:before="120" w:after="120"/>
        <w:ind w:firstLine="420"/>
        <w:jc w:val="left"/>
      </w:pPr>
      <w:r>
        <w:rPr>
          <w:rFonts w:ascii="楷体_GB2312" w:hAnsi="楷体_GB2312" w:eastAsia="楷体_GB2312"/>
          <w:b w:val="0"/>
          <w:color w:val="000000"/>
          <w:sz w:val="32"/>
        </w:rPr>
        <w:t>（五）产能与资源</w:t>
      </w:r>
    </w:p>
    <w:p>
      <w:pPr>
        <w:spacing w:lineRule="exact" w:line="600" w:before="0" w:after="0"/>
        <w:ind w:firstLine="420"/>
        <w:jc w:val="both"/>
      </w:pPr>
      <w:r>
        <w:rPr>
          <w:rFonts w:ascii="仿宋_GB2312" w:hAnsi="仿宋_GB2312" w:eastAsia="仿宋_GB2312"/>
          <w:b w:val="0"/>
          <w:color w:val="000000"/>
          <w:sz w:val="32"/>
        </w:rPr>
        <w:t>公司具备规模化肉鸡、肉鸭屠宰加工能力，员工规模超千人（参保约1,428人），是鲁西南地区重要的禽肉加工基地之一。</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公司采取"屠宰分割+调理深加工+出口"的销售模式，内销以华东及全国农贸、餐饮渠道为主，外销面向部分东南亚及地区市场。</w:t>
      </w:r>
    </w:p>
    <w:p>
      <w:pPr>
        <w:spacing w:lineRule="exact" w:line="600" w:before="120" w:after="120"/>
        <w:ind w:firstLine="420"/>
        <w:jc w:val="left"/>
      </w:pPr>
      <w:r>
        <w:rPr>
          <w:rFonts w:ascii="楷体_GB2312" w:hAnsi="楷体_GB2312" w:eastAsia="楷体_GB2312"/>
          <w:b w:val="0"/>
          <w:color w:val="000000"/>
          <w:sz w:val="32"/>
        </w:rPr>
        <w:t>（七）经营数据与市场地位</w:t>
      </w:r>
    </w:p>
    <w:p>
      <w:pPr>
        <w:spacing w:lineRule="exact" w:line="600" w:before="0" w:after="0"/>
        <w:ind w:firstLine="420"/>
        <w:jc w:val="both"/>
      </w:pPr>
      <w:r>
        <w:rPr>
          <w:rFonts w:ascii="仿宋_GB2312" w:hAnsi="仿宋_GB2312" w:eastAsia="仿宋_GB2312"/>
          <w:b w:val="0"/>
          <w:color w:val="000000"/>
          <w:sz w:val="32"/>
        </w:rPr>
        <w:t>根据新三板公开披露，公司2024年营业收入23.52亿元，2025年营业收入21.81亿元，营收规模在山东省禽肉加工企业中居前列，是区域重要的禽肉供应商。</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公司为新三板挂牌公司，披露了2024年、2025年年度报告（2023年详细财务数据未完整获取），以下列示近两年关键数据（单位：亿元，除特别注明外），数据来源于其公开披露的定期报告。</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2024年</w:t>
            </w:r>
          </w:p>
        </w:tc>
        <w:tc>
          <w:tcPr>
            <w:tcW w:type="dxa" w:w="3402"/>
          </w:tcPr>
          <w:p>
            <w:pPr>
              <w:spacing w:lineRule="exact" w:line="600"/>
              <w:jc w:val="center"/>
            </w:pPr>
            <w:r/>
            <w:r>
              <w:rPr>
                <w:rFonts w:ascii="黑体" w:hAnsi="黑体" w:eastAsia="黑体"/>
                <w:b/>
                <w:color w:val="000000"/>
                <w:sz w:val="32"/>
              </w:rPr>
              <w:t>2025年</w:t>
            </w:r>
          </w:p>
        </w:tc>
      </w:tr>
      <w:tr>
        <w:tc>
          <w:tcPr>
            <w:tcW w:type="dxa" w:w="2835"/>
          </w:tcPr>
          <w:p>
            <w:pPr>
              <w:spacing w:lineRule="exact" w:line="600"/>
              <w:jc w:val="center"/>
            </w:pPr>
            <w:r/>
            <w:r>
              <w:rPr>
                <w:rFonts w:ascii="仿宋_GB2312" w:hAnsi="仿宋_GB2312" w:eastAsia="仿宋_GB2312"/>
                <w:b w:val="0"/>
                <w:color w:val="000000"/>
                <w:sz w:val="32"/>
              </w:rPr>
              <w:t>营业收入</w:t>
            </w:r>
          </w:p>
        </w:tc>
        <w:tc>
          <w:tcPr>
            <w:tcW w:type="dxa" w:w="2835"/>
          </w:tcPr>
          <w:p>
            <w:pPr>
              <w:spacing w:lineRule="exact" w:line="600"/>
              <w:jc w:val="center"/>
            </w:pPr>
            <w:r/>
            <w:r>
              <w:rPr>
                <w:rFonts w:ascii="仿宋_GB2312" w:hAnsi="仿宋_GB2312" w:eastAsia="仿宋_GB2312"/>
                <w:b w:val="0"/>
                <w:color w:val="000000"/>
                <w:sz w:val="32"/>
              </w:rPr>
              <w:t>23.52</w:t>
            </w:r>
          </w:p>
        </w:tc>
        <w:tc>
          <w:tcPr>
            <w:tcW w:type="dxa" w:w="3402"/>
          </w:tcPr>
          <w:p>
            <w:pPr>
              <w:spacing w:lineRule="exact" w:line="600"/>
              <w:jc w:val="center"/>
            </w:pPr>
            <w:r/>
            <w:r>
              <w:rPr>
                <w:rFonts w:ascii="仿宋_GB2312" w:hAnsi="仿宋_GB2312" w:eastAsia="仿宋_GB2312"/>
                <w:b w:val="0"/>
                <w:color w:val="000000"/>
                <w:sz w:val="32"/>
              </w:rPr>
              <w:t>21.81</w:t>
            </w:r>
          </w:p>
        </w:tc>
      </w:tr>
      <w:tr>
        <w:tc>
          <w:tcPr>
            <w:tcW w:type="dxa" w:w="2835"/>
          </w:tcPr>
          <w:p>
            <w:pPr>
              <w:spacing w:lineRule="exact" w:line="600"/>
              <w:jc w:val="center"/>
            </w:pPr>
            <w:r/>
            <w:r>
              <w:rPr>
                <w:rFonts w:ascii="仿宋_GB2312" w:hAnsi="仿宋_GB2312" w:eastAsia="仿宋_GB2312"/>
                <w:b w:val="0"/>
                <w:color w:val="000000"/>
                <w:sz w:val="32"/>
              </w:rPr>
              <w:t>归属于母公司净利润</w:t>
            </w:r>
          </w:p>
        </w:tc>
        <w:tc>
          <w:tcPr>
            <w:tcW w:type="dxa" w:w="2835"/>
          </w:tcPr>
          <w:p>
            <w:pPr>
              <w:spacing w:lineRule="exact" w:line="600"/>
              <w:jc w:val="center"/>
            </w:pPr>
            <w:r/>
            <w:r>
              <w:rPr>
                <w:rFonts w:ascii="仿宋_GB2312" w:hAnsi="仿宋_GB2312" w:eastAsia="仿宋_GB2312"/>
                <w:b w:val="0"/>
                <w:color w:val="000000"/>
                <w:sz w:val="32"/>
              </w:rPr>
              <w:t>0.0226</w:t>
            </w:r>
          </w:p>
        </w:tc>
        <w:tc>
          <w:tcPr>
            <w:tcW w:type="dxa" w:w="3402"/>
          </w:tcPr>
          <w:p>
            <w:pPr>
              <w:spacing w:lineRule="exact" w:line="600"/>
              <w:jc w:val="center"/>
            </w:pPr>
            <w:r/>
            <w:r>
              <w:rPr>
                <w:rFonts w:ascii="仿宋_GB2312" w:hAnsi="仿宋_GB2312" w:eastAsia="仿宋_GB2312"/>
                <w:b w:val="0"/>
                <w:color w:val="000000"/>
                <w:sz w:val="32"/>
              </w:rPr>
              <w:t>-0.1638</w:t>
            </w:r>
          </w:p>
        </w:tc>
      </w:tr>
      <w:tr>
        <w:tc>
          <w:tcPr>
            <w:tcW w:type="dxa" w:w="2835"/>
          </w:tcPr>
          <w:p>
            <w:pPr>
              <w:spacing w:lineRule="exact" w:line="600"/>
              <w:jc w:val="center"/>
            </w:pPr>
            <w:r/>
            <w:r>
              <w:rPr>
                <w:rFonts w:ascii="仿宋_GB2312" w:hAnsi="仿宋_GB2312" w:eastAsia="仿宋_GB2312"/>
                <w:b w:val="0"/>
                <w:color w:val="000000"/>
                <w:sz w:val="32"/>
              </w:rPr>
              <w:t>总资产</w:t>
            </w:r>
          </w:p>
        </w:tc>
        <w:tc>
          <w:tcPr>
            <w:tcW w:type="dxa" w:w="2835"/>
          </w:tcPr>
          <w:p>
            <w:pPr>
              <w:spacing w:lineRule="exact" w:line="600"/>
              <w:jc w:val="center"/>
            </w:pPr>
            <w:r/>
            <w:r>
              <w:rPr>
                <w:rFonts w:ascii="仿宋_GB2312" w:hAnsi="仿宋_GB2312" w:eastAsia="仿宋_GB2312"/>
                <w:b w:val="0"/>
                <w:color w:val="000000"/>
                <w:sz w:val="32"/>
              </w:rPr>
              <w:t>6.04</w:t>
            </w:r>
          </w:p>
        </w:tc>
        <w:tc>
          <w:tcPr>
            <w:tcW w:type="dxa" w:w="3402"/>
          </w:tcPr>
          <w:p>
            <w:pPr>
              <w:spacing w:lineRule="exact" w:line="600"/>
              <w:jc w:val="center"/>
            </w:pPr>
            <w:r/>
            <w:r>
              <w:rPr>
                <w:rFonts w:ascii="仿宋_GB2312" w:hAnsi="仿宋_GB2312" w:eastAsia="仿宋_GB2312"/>
                <w:b w:val="0"/>
                <w:color w:val="000000"/>
                <w:sz w:val="32"/>
              </w:rPr>
              <w:t>5.77</w:t>
            </w:r>
          </w:p>
        </w:tc>
      </w:tr>
      <w:tr>
        <w:tc>
          <w:tcPr>
            <w:tcW w:type="dxa" w:w="2835"/>
          </w:tcPr>
          <w:p>
            <w:pPr>
              <w:spacing w:lineRule="exact" w:line="600"/>
              <w:jc w:val="center"/>
            </w:pPr>
            <w:r/>
            <w:r>
              <w:rPr>
                <w:rFonts w:ascii="仿宋_GB2312" w:hAnsi="仿宋_GB2312" w:eastAsia="仿宋_GB2312"/>
                <w:b w:val="0"/>
                <w:color w:val="000000"/>
                <w:sz w:val="32"/>
              </w:rPr>
              <w:t>净资产</w:t>
            </w:r>
          </w:p>
        </w:tc>
        <w:tc>
          <w:tcPr>
            <w:tcW w:type="dxa" w:w="2835"/>
          </w:tcPr>
          <w:p>
            <w:pPr>
              <w:spacing w:lineRule="exact" w:line="600"/>
              <w:jc w:val="center"/>
            </w:pPr>
            <w:r/>
            <w:r>
              <w:rPr>
                <w:rFonts w:ascii="仿宋_GB2312" w:hAnsi="仿宋_GB2312" w:eastAsia="仿宋_GB2312"/>
                <w:b w:val="0"/>
                <w:color w:val="000000"/>
                <w:sz w:val="32"/>
              </w:rPr>
              <w:t>2.24</w:t>
            </w:r>
          </w:p>
        </w:tc>
        <w:tc>
          <w:tcPr>
            <w:tcW w:type="dxa" w:w="3402"/>
          </w:tcPr>
          <w:p>
            <w:pPr>
              <w:spacing w:lineRule="exact" w:line="600"/>
              <w:jc w:val="center"/>
            </w:pPr>
            <w:r/>
            <w:r>
              <w:rPr>
                <w:rFonts w:ascii="仿宋_GB2312" w:hAnsi="仿宋_GB2312" w:eastAsia="仿宋_GB2312"/>
                <w:b w:val="0"/>
                <w:color w:val="000000"/>
                <w:sz w:val="32"/>
              </w:rPr>
              <w:t>2.07</w:t>
            </w:r>
          </w:p>
        </w:tc>
      </w:tr>
      <w:tr>
        <w:tc>
          <w:tcPr>
            <w:tcW w:type="dxa" w:w="2835"/>
          </w:tcPr>
          <w:p>
            <w:pPr>
              <w:spacing w:lineRule="exact" w:line="600"/>
              <w:jc w:val="center"/>
            </w:pPr>
            <w:r/>
            <w:r>
              <w:rPr>
                <w:rFonts w:ascii="仿宋_GB2312" w:hAnsi="仿宋_GB2312" w:eastAsia="仿宋_GB2312"/>
                <w:b w:val="0"/>
                <w:color w:val="000000"/>
                <w:sz w:val="32"/>
              </w:rPr>
              <w:t>毛利率</w:t>
            </w:r>
          </w:p>
        </w:tc>
        <w:tc>
          <w:tcPr>
            <w:tcW w:type="dxa" w:w="2835"/>
          </w:tcPr>
          <w:p>
            <w:pPr>
              <w:spacing w:lineRule="exact" w:line="600"/>
              <w:jc w:val="center"/>
            </w:pPr>
            <w:r/>
            <w:r>
              <w:rPr>
                <w:rFonts w:ascii="仿宋_GB2312" w:hAnsi="仿宋_GB2312" w:eastAsia="仿宋_GB2312"/>
                <w:b w:val="0"/>
                <w:color w:val="000000"/>
                <w:sz w:val="32"/>
              </w:rPr>
              <w:t>2.08%</w:t>
            </w:r>
          </w:p>
        </w:tc>
        <w:tc>
          <w:tcPr>
            <w:tcW w:type="dxa" w:w="3402"/>
          </w:tcPr>
          <w:p>
            <w:pPr>
              <w:spacing w:lineRule="exact" w:line="600"/>
              <w:jc w:val="center"/>
            </w:pPr>
            <w:r/>
            <w:r>
              <w:rPr>
                <w:rFonts w:ascii="仿宋_GB2312" w:hAnsi="仿宋_GB2312" w:eastAsia="仿宋_GB2312"/>
                <w:b w:val="0"/>
                <w:color w:val="000000"/>
                <w:sz w:val="32"/>
              </w:rPr>
              <w:t>1.63%</w:t>
            </w:r>
          </w:p>
        </w:tc>
      </w:tr>
      <w:tr>
        <w:tc>
          <w:tcPr>
            <w:tcW w:type="dxa" w:w="2835"/>
          </w:tcPr>
          <w:p>
            <w:pPr>
              <w:spacing w:lineRule="exact" w:line="600"/>
              <w:jc w:val="center"/>
            </w:pPr>
            <w:r/>
            <w:r>
              <w:rPr>
                <w:rFonts w:ascii="仿宋_GB2312" w:hAnsi="仿宋_GB2312" w:eastAsia="仿宋_GB2312"/>
                <w:b w:val="0"/>
                <w:color w:val="000000"/>
                <w:sz w:val="32"/>
              </w:rPr>
              <w:t>资产负债率(估)</w:t>
            </w:r>
          </w:p>
        </w:tc>
        <w:tc>
          <w:tcPr>
            <w:tcW w:type="dxa" w:w="2835"/>
          </w:tcPr>
          <w:p>
            <w:pPr>
              <w:spacing w:lineRule="exact" w:line="600"/>
              <w:jc w:val="center"/>
            </w:pPr>
            <w:r/>
            <w:r>
              <w:rPr>
                <w:rFonts w:ascii="仿宋_GB2312" w:hAnsi="仿宋_GB2312" w:eastAsia="仿宋_GB2312"/>
                <w:b w:val="0"/>
                <w:color w:val="000000"/>
                <w:sz w:val="32"/>
              </w:rPr>
              <w:t>约62.9%</w:t>
            </w:r>
          </w:p>
        </w:tc>
        <w:tc>
          <w:tcPr>
            <w:tcW w:type="dxa" w:w="3402"/>
          </w:tcPr>
          <w:p>
            <w:pPr>
              <w:spacing w:lineRule="exact" w:line="600"/>
              <w:jc w:val="center"/>
            </w:pPr>
            <w:r/>
            <w:r>
              <w:rPr>
                <w:rFonts w:ascii="仿宋_GB2312" w:hAnsi="仿宋_GB2312" w:eastAsia="仿宋_GB2312"/>
                <w:b w:val="0"/>
                <w:color w:val="000000"/>
                <w:sz w:val="32"/>
              </w:rPr>
              <w:t>约64.1%</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公司毛利率长期处于极低水平（2024年2.08%、2025年1.63%），反映屠宰分割业务附加值偏低、行业竞争激烈。2024年勉强盈利（净利约226万元），2025年由盈转亏（净亏损约1,637.82万元），且据公开信息公司已连续三年亏损，盈利能力持续承压。</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公司总资产由2024年的6.04亿元降至2025年的5.77亿元，净资产由2.24亿元降至2.07亿元，资产规模随经营收缩小幅下降。禽肉加工行业存货（冻品）占款较高，资产周转与减值风险需关注。</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按上述数据估算，公司资产负债率约63%—64%，负债水平偏高。作为重资产屠宰加工企业，公司存在银行借款等刚性债务，若盈利持续为负、经营现金流走弱，将加大偿债与流动性压力。</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因连续亏损且行业薄利，公司经营性现金流承压，需依赖融资与周转维持运营。具体现金流量表科目数据以公司公开披露为准。</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与同行业禽肉加工企业相比，公司毛利率显著偏低，规模虽大但盈利质量弱，反映出以初加工为主、深加工与品牌溢价不足的结构性问题；需向调理品、熟食等高附加值环节转型以改善盈利。</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公司为新三板挂牌公众公司，设立股东大会、董事会、监事会及经营管理层，王德定任法定代表人，控股并实际控制公司。作为非上市公众公司，其治理需符合新三板相关规范。</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公司核心管理层具有禽肉屠宰加工与养殖行业经验，实际控制人王德定主导战略与经营决策。</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作为食品与肉类加工企业，公司须严格执行畜禽屠宰检疫、食品安全追溯、冷链管理等合规要求，建立覆盖养殖—屠宰—加工—销售的质量内控体系。</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公司参保人数约1,428人，是当地重要的劳动用工企业，员工以生产一线屠宰、加工人员为主，季节性用工需求明显。</w:t>
      </w:r>
    </w:p>
    <w:p>
      <w:pPr>
        <w:spacing w:lineRule="exact" w:line="600" w:before="120" w:after="120"/>
        <w:ind w:firstLine="420"/>
        <w:jc w:val="left"/>
      </w:pPr>
      <w:r>
        <w:rPr>
          <w:rFonts w:ascii="黑体" w:hAnsi="黑体" w:eastAsia="黑体"/>
          <w:b w:val="0"/>
          <w:color w:val="000000"/>
          <w:sz w:val="32"/>
        </w:rPr>
        <w:t>五、核心竞争力</w:t>
      </w:r>
    </w:p>
    <w:p>
      <w:pPr>
        <w:spacing w:lineRule="exact" w:line="600" w:before="0" w:after="0"/>
        <w:ind w:firstLine="420"/>
        <w:jc w:val="both"/>
      </w:pPr>
      <w:r>
        <w:rPr>
          <w:rFonts w:ascii="仿宋_GB2312" w:hAnsi="仿宋_GB2312" w:eastAsia="仿宋_GB2312"/>
          <w:b w:val="0"/>
          <w:color w:val="000000"/>
          <w:sz w:val="32"/>
        </w:rPr>
        <w:t>一是产业链一体化：构建"种苗—养殖—屠宰—深加工"全链条，具备规模屠宰加工能力；二是区域规模优势：鲁西南重要禽肉加工基地，营收规模超20亿元；三是资质与渠道：省级农业产业化重点龙头企业，内销与出口渠道并行；四是稳定的养殖合作体系：通过自有+合作养殖保障原料供应。但整体来看，公司核心壁垒偏重规模与产能，品牌与深加工溢价不足。</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（一）行业与经营风险</w:t>
      </w:r>
    </w:p>
    <w:p>
      <w:pPr>
        <w:spacing w:lineRule="exact" w:line="600" w:before="0" w:after="0"/>
        <w:ind w:firstLine="420"/>
        <w:jc w:val="both"/>
      </w:pPr>
      <w:r>
        <w:rPr>
          <w:rFonts w:ascii="仿宋_GB2312" w:hAnsi="仿宋_GB2312" w:eastAsia="仿宋_GB2312"/>
          <w:b w:val="0"/>
          <w:color w:val="000000"/>
          <w:sz w:val="32"/>
        </w:rPr>
        <w:t>禽肉加工行业同质化竞争激烈、毛利薄，叠加饲料成本波动、禽流感等疫病风险、消费需求疲软，公司经营承压明显。</w:t>
      </w:r>
    </w:p>
    <w:p>
      <w:pPr>
        <w:spacing w:lineRule="exact" w:line="600" w:before="120" w:after="120"/>
        <w:ind w:firstLine="420"/>
        <w:jc w:val="left"/>
      </w:pPr>
      <w:r>
        <w:rPr>
          <w:rFonts w:ascii="楷体_GB2312" w:hAnsi="楷体_GB2312" w:eastAsia="楷体_GB2312"/>
          <w:b w:val="0"/>
          <w:color w:val="000000"/>
          <w:sz w:val="32"/>
        </w:rPr>
        <w:t>（二）财务与持续经营风险</w:t>
      </w:r>
    </w:p>
    <w:p>
      <w:pPr>
        <w:spacing w:lineRule="exact" w:line="600" w:before="0" w:after="0"/>
        <w:ind w:firstLine="420"/>
        <w:jc w:val="both"/>
      </w:pPr>
      <w:r>
        <w:rPr>
          <w:rFonts w:ascii="仿宋_GB2312" w:hAnsi="仿宋_GB2312" w:eastAsia="仿宋_GB2312"/>
          <w:b w:val="0"/>
          <w:color w:val="000000"/>
          <w:sz w:val="32"/>
        </w:rPr>
        <w:t>公司连续三年亏损、毛利率极低、资产负债率偏高，已触发新三板降层（2026年5月调至基础层），持续经营能力存在重大不确定性，融资与再融资能力受限。</w:t>
      </w:r>
    </w:p>
    <w:p>
      <w:pPr>
        <w:spacing w:lineRule="exact" w:line="600" w:before="120" w:after="120"/>
        <w:ind w:firstLine="420"/>
        <w:jc w:val="left"/>
      </w:pPr>
      <w:r>
        <w:rPr>
          <w:rFonts w:ascii="楷体_GB2312" w:hAnsi="楷体_GB2312" w:eastAsia="楷体_GB2312"/>
          <w:b w:val="0"/>
          <w:color w:val="000000"/>
          <w:sz w:val="32"/>
        </w:rPr>
        <w:t>（三）产品结构风险</w:t>
      </w:r>
    </w:p>
    <w:p>
      <w:pPr>
        <w:spacing w:lineRule="exact" w:line="600" w:before="0" w:after="0"/>
        <w:ind w:firstLine="420"/>
        <w:jc w:val="both"/>
      </w:pPr>
      <w:r>
        <w:rPr>
          <w:rFonts w:ascii="仿宋_GB2312" w:hAnsi="仿宋_GB2312" w:eastAsia="仿宋_GB2312"/>
          <w:b w:val="0"/>
          <w:color w:val="000000"/>
          <w:sz w:val="32"/>
        </w:rPr>
        <w:t>收入以低附加值初加工屠宰品为主（鸡、鸭分割品合计超90%），调理品占比仅约2.31%，抗周期与盈利能力弱。</w:t>
      </w:r>
    </w:p>
    <w:p>
      <w:pPr>
        <w:spacing w:lineRule="exact" w:line="600" w:before="120" w:after="120"/>
        <w:ind w:firstLine="420"/>
        <w:jc w:val="left"/>
      </w:pPr>
      <w:r>
        <w:rPr>
          <w:rFonts w:ascii="楷体_GB2312" w:hAnsi="楷体_GB2312" w:eastAsia="楷体_GB2312"/>
          <w:b w:val="0"/>
          <w:color w:val="000000"/>
          <w:sz w:val="32"/>
        </w:rPr>
        <w:t>（四）应对措施</w:t>
      </w:r>
    </w:p>
    <w:p>
      <w:pPr>
        <w:spacing w:lineRule="exact" w:line="600" w:before="0" w:after="0"/>
        <w:ind w:firstLine="420"/>
        <w:jc w:val="both"/>
      </w:pPr>
      <w:r>
        <w:rPr>
          <w:rFonts w:ascii="仿宋_GB2312" w:hAnsi="仿宋_GB2312" w:eastAsia="仿宋_GB2312"/>
          <w:b w:val="0"/>
          <w:color w:val="000000"/>
          <w:sz w:val="32"/>
        </w:rPr>
        <w:t>公司需加快向调理品、熟食等高附加值产品转型；强化成本管控与供应链管理；拓展优质客户与出口市场；同时通过资产盘活、引入战略投资者等方式改善资本结构与现金流。</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120" w:after="120"/>
        <w:ind w:firstLine="420"/>
        <w:jc w:val="left"/>
      </w:pPr>
      <w:r>
        <w:rPr>
          <w:rFonts w:ascii="楷体_GB2312" w:hAnsi="楷体_GB2312" w:eastAsia="楷体_GB2312"/>
          <w:b w:val="0"/>
          <w:color w:val="000000"/>
          <w:sz w:val="32"/>
        </w:rPr>
        <w:t>（一）供应链金融</w:t>
      </w:r>
    </w:p>
    <w:p>
      <w:pPr>
        <w:spacing w:lineRule="exact" w:line="600" w:before="0" w:after="0"/>
        <w:ind w:firstLine="420"/>
        <w:jc w:val="both"/>
      </w:pPr>
      <w:r>
        <w:rPr>
          <w:rFonts w:ascii="仿宋_GB2312" w:hAnsi="仿宋_GB2312" w:eastAsia="仿宋_GB2312"/>
          <w:b w:val="0"/>
          <w:color w:val="000000"/>
          <w:sz w:val="32"/>
        </w:rPr>
        <w:t>公司上游为大量养殖户，存在真实的饲料采购、毛鸡毛鸭收购应付/预付场景，可依托山东投资供应链金融平台为养殖户提供融资，稳定原料供应、强化产业链粘性。</w:t>
      </w:r>
    </w:p>
    <w:p>
      <w:pPr>
        <w:spacing w:lineRule="exact" w:line="600" w:before="120" w:after="120"/>
        <w:ind w:firstLine="420"/>
        <w:jc w:val="left"/>
      </w:pPr>
      <w:r>
        <w:rPr>
          <w:rFonts w:ascii="楷体_GB2312" w:hAnsi="楷体_GB2312" w:eastAsia="楷体_GB2312"/>
          <w:b w:val="0"/>
          <w:color w:val="000000"/>
          <w:sz w:val="32"/>
        </w:rPr>
        <w:t>（二）保理业务</w:t>
      </w:r>
    </w:p>
    <w:p>
      <w:pPr>
        <w:spacing w:lineRule="exact" w:line="600" w:before="0" w:after="0"/>
        <w:ind w:firstLine="420"/>
        <w:jc w:val="both"/>
      </w:pPr>
      <w:r>
        <w:rPr>
          <w:rFonts w:ascii="仿宋_GB2312" w:hAnsi="仿宋_GB2312" w:eastAsia="仿宋_GB2312"/>
          <w:b w:val="0"/>
          <w:color w:val="000000"/>
          <w:sz w:val="32"/>
        </w:rPr>
        <w:t>公司对餐饮、食品加工企业存在应收账款，可开展保理业务盘活资金；但需关注下游客户信用与回款风险。</w:t>
      </w:r>
    </w:p>
    <w:p>
      <w:pPr>
        <w:spacing w:lineRule="exact" w:line="600" w:before="120" w:after="120"/>
        <w:ind w:firstLine="420"/>
        <w:jc w:val="left"/>
      </w:pPr>
      <w:r>
        <w:rPr>
          <w:rFonts w:ascii="楷体_GB2312" w:hAnsi="楷体_GB2312" w:eastAsia="楷体_GB2312"/>
          <w:b w:val="0"/>
          <w:color w:val="000000"/>
          <w:sz w:val="32"/>
        </w:rPr>
        <w:t>（三）融资租赁</w:t>
      </w:r>
    </w:p>
    <w:p>
      <w:pPr>
        <w:spacing w:lineRule="exact" w:line="600" w:before="0" w:after="0"/>
        <w:ind w:firstLine="420"/>
        <w:jc w:val="both"/>
      </w:pPr>
      <w:r>
        <w:rPr>
          <w:rFonts w:ascii="仿宋_GB2312" w:hAnsi="仿宋_GB2312" w:eastAsia="仿宋_GB2312"/>
          <w:b w:val="0"/>
          <w:color w:val="000000"/>
          <w:sz w:val="32"/>
        </w:rPr>
        <w:t>公司屠宰、冷链、深加工产线升级可借助融资租赁获取设备，缓解资本开支压力。</w:t>
      </w:r>
    </w:p>
    <w:p>
      <w:pPr>
        <w:spacing w:lineRule="exact" w:line="600" w:before="120" w:after="120"/>
        <w:ind w:firstLine="420"/>
        <w:jc w:val="left"/>
      </w:pPr>
      <w:r>
        <w:rPr>
          <w:rFonts w:ascii="楷体_GB2312" w:hAnsi="楷体_GB2312" w:eastAsia="楷体_GB2312"/>
          <w:b w:val="0"/>
          <w:color w:val="000000"/>
          <w:sz w:val="32"/>
        </w:rPr>
        <w:t>（四）小额贷款与重组支持</w:t>
      </w:r>
    </w:p>
    <w:p>
      <w:pPr>
        <w:spacing w:lineRule="exact" w:line="600" w:before="0" w:after="0"/>
        <w:ind w:firstLine="420"/>
        <w:jc w:val="both"/>
      </w:pPr>
      <w:r>
        <w:rPr>
          <w:rFonts w:ascii="仿宋_GB2312" w:hAnsi="仿宋_GB2312" w:eastAsia="仿宋_GB2312"/>
          <w:b w:val="0"/>
          <w:color w:val="000000"/>
          <w:sz w:val="32"/>
        </w:rPr>
        <w:t>鉴于公司处于亏损与降层阶段，单纯信贷支持风险较高；建议以"供应链金融+产业重组+战略投资"组合介入，优先支持其高附加值调理品产线建设，并配套风控条款。</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来看，山东鸿润食品股份有限公司是泗水县食品加工集群重要的禽肉加工龙头，规模较大、产业链完整，但面临连续亏损、毛利率极低、降层及持续经营不确定性等严峻挑战，核心症结在于产品以低附加值初加工为主、品牌与深加工溢价不足。</w:t>
      </w:r>
    </w:p>
    <w:p>
      <w:pPr>
        <w:spacing w:lineRule="exact" w:line="600" w:before="0" w:after="0"/>
        <w:ind w:firstLine="420"/>
        <w:jc w:val="both"/>
      </w:pPr>
      <w:r>
        <w:rPr>
          <w:rFonts w:ascii="仿宋_GB2312" w:hAnsi="仿宋_GB2312" w:eastAsia="仿宋_GB2312"/>
          <w:b w:val="0"/>
          <w:color w:val="000000"/>
          <w:sz w:val="32"/>
        </w:rPr>
        <w:t>发展展望：禽肉消费长期仍有空间，公司若能成功向调理品、熟食转型并改善成本管控，有望修复盈利；但短期内扭亏压力较大。</w:t>
      </w:r>
    </w:p>
    <w:p>
      <w:pPr>
        <w:spacing w:lineRule="exact" w:line="600" w:before="0" w:after="0"/>
        <w:ind w:firstLine="420"/>
        <w:jc w:val="both"/>
      </w:pPr>
      <w:r>
        <w:rPr>
          <w:rFonts w:ascii="仿宋_GB2312" w:hAnsi="仿宋_GB2312" w:eastAsia="仿宋_GB2312"/>
          <w:b w:val="0"/>
          <w:color w:val="000000"/>
          <w:sz w:val="32"/>
        </w:rPr>
        <w:t>建议：一是聚焦高附加值调理品与熟食产线建设，提升毛利率；二是借助山东投资供应链金融与产业资源，优化上游养殖资金链与下游回款；三是审慎评估持续经营风险，引入战略投资者或进行资产/业务重组以修复资本结构；四是强化食品安全与合规管理，稳定出口与优质客户渠道。</w:t>
      </w:r>
    </w:p>
    <w:p>
      <w:pPr>
        <w:spacing w:lineRule="exact" w:line="600" w:before="0" w:after="0"/>
        <w:jc w:val="left"/>
      </w:pPr>
      <w:r>
        <w:rPr>
          <w:rFonts w:ascii="仿宋_GB2312" w:hAnsi="仿宋_GB2312" w:eastAsia="仿宋_GB2312"/>
          <w:b w:val="0"/>
          <w:color w:val="000000"/>
          <w:sz w:val="28"/>
        </w:rPr>
        <w:t>数据来源说明：本报告的挂牌及财务数据来源于全国中小企业股份转让系统（新三板）公开披露的定期报告与公告；工商信息来源于国家企业信用信息公示系统、天眼查/爱企查；经营与市场数据来源于大众日报等公开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