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泰安市岱岳区现代食品特色产业集群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山东智研食品有限公司企业分析报告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（本报告数据来源于国家企业信用信息公示系统、天眼查、企查查、金融界及公开报道。统计时点截至2025—2026年公开披露信息。公司为非上市自然人独资企业，财务数据未公开披露，已如实标注。）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智研食品有限公司成立于2018年3月22日，法定代表人为齐云梅，统一社会信用代码为91370100MA3MU1K73A，企业类型为有限责任公司（自然人独资）。公司注册资本为10000万元人民币，注册地址位于山东省泰安市岱岳区满庄镇迎驾路43号，登记机关为泰安市岱岳区市场监督管理局，经营状态为存续（在营）。经营范围为食品生产、食品销售、食品互联网销售及食品进出口、技术服务等。</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公司由齐云梅100%持股，为自然人独资企业，实际控制人为齐云梅。公司下设泰安满庄工业园生产基地，并拥有进出口经营权，下设相关业务部门支撑研发、生产与销售。</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2018年设立，定位为华北地区专业从事烘焙冷冻半成品研发、生产与销售的企业。通过引进瑞士、荷兰等7条全自动生产线，形成从米面搅拌到成品冷冻的全流程生产能力。2024—2025年，公司获得国家级高新技术企业（证书编号GR202437007186，发证日期2025年3月5日）与省级创新型中小企业认定；经营范围于2025年3月变更为含食品互联网销售与进出口。</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冷冻烘焙半成品研发制造企业，是高新技术企业、创新型中小企业。主营业务为冷冻蛋挞皮、披萨饼底、酥饼类、起酥类及丹麦面团等冷冻烘焙半成品的研发、生产与销售，产品通过冷冻供应链直达餐饮与烘焙终端。</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公司业务集中于冷冻烘焙半成品制造销售，按产品分为蛋挞皮、披萨饼底、酥饼/起酥类、丹麦面团等。具体收入构成未公开披露。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核心产品为冷冻蛋挞皮、披萨饼底、酥饼类、起酥类、丹麦面团等烘焙冷冻半成品，覆盖中西式烘焙主流品类，面向连锁餐饮、烘焙店及商超渠道。</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下游客户主要为连锁餐饮、烘焙连锁、商超及食品加工企业。冷冻半成品模式帮助客户降低后厨人工与损耗，契合连锁化趋势，客户粘性较强。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主要采购面粉、油脂、糖、蛋液及包装材料等农产品加工原料，供应链成熟、来源广泛，受农产品价格波动影响。</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位于泰安满庄工业园，占地面积100亩，拥有从瑞士、荷兰引进的7条全自动生产线，自动化冷冻烘焙食品年加工能力达30000吨。具备食品生产许可、高新技术企业资质，拥有11项专利（含发明专利"一种食品自动装袋设备"等）、1项商标及多项行政许可。</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销售以B端直销（连锁餐饮、烘焙连锁）为主，并逐步拓展食品互联网销售与进出口业务，冷冻物流支撑全国配送。</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公司为非上市企业，财务数据未公开披露。公开资料显示参保人数325—331人（2024—2025年），年加工能力3万吨，但营业收入与市场占有率无公开量化数据。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山东智研食品有限公司为非上市自然人独资企业，未强制披露经审计年度财务报告，近三年营业收入、净利润、毛利率、资产负债率、经营活动现金流均未公开，本段不作编造。</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冷冻烘焙半成品具备一定加工附加值，毛利率通常优于普通初加工食品，但具体盈利指标未公开。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注册资本1亿元且实缴（部分来源显示为1亿元，金融界曾披露实缴3000万元，以工商年报口径为准），资产以厂房、全自动生产线、专利为主，重资产属性明显。</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资产负债率未公开。公司参保300余人、经营正常，公开渠道未见重大债务违约。</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经营现金流数据未公开。食品制造需维持原料与产成品冻品库存，对流动资金有一定占用。</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与立高食品、南侨食品等冷冻烘焙上市企业相比，智研规模较小、区域化特征明显，但凭借自动化产线与高新技术资质具备成长性。</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公司为自然人独资有限责任公司，法定代表人、执行董事/总经理为齐云梅，治理结构简单，决策集中。</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创始人齐云梅为实际控制人并负责战略与经营，管理团队聚焦冷冻烘焙研发与供应链。</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公司通过高新技术企业研发体系与食品生产许可体系强化质量内控，并建设全流程自动化产线提升一致性。</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参保人数325—331人（2024—2025年），人员以生产技工、研发与品质人员为主，2024年曾被抽查发现问题已责令改正，提示需持续加强合规管理。</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自动化产能：7条瑞士/荷兰全自动线、3万吨年加工能力，规模与效率优势；第二，技术资质：国家级高新技术企业、创新型中小企业，11项专利；第三，产品定位：冷冻半成品契合连锁餐饮降本提效趋势，需求景气；第四，全流程能力：从米面到冷冻成品一体化，品控稳定。</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烘焙行业竞争激烈、消费者口味迭代快；面粉、油脂等原料价格波动影响成本。</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冷冻品对冷链物流与库存管理要求高，存在食品安全与库存损耗风险；曾因抽查发现问题被责令改正，提示品控需持续强化。</w:t>
      </w:r>
    </w:p>
    <w:p>
      <w:pPr>
        <w:spacing w:lineRule="exact" w:line="600" w:before="120" w:after="120"/>
        <w:ind w:firstLine="420"/>
        <w:jc w:val="left"/>
      </w:pPr>
      <w:r>
        <w:rPr>
          <w:rFonts w:ascii="楷体_GB2312" w:hAnsi="楷体_GB2312" w:eastAsia="楷体_GB2312"/>
          <w:b w:val="0"/>
          <w:color w:val="000000"/>
          <w:sz w:val="32"/>
        </w:rPr>
        <w:t>（三）财务与合规风险</w:t>
      </w:r>
    </w:p>
    <w:p>
      <w:pPr>
        <w:spacing w:lineRule="exact" w:line="600" w:before="0" w:after="0"/>
        <w:ind w:firstLine="420"/>
        <w:jc w:val="both"/>
      </w:pPr>
      <w:r>
        <w:rPr>
          <w:rFonts w:ascii="仿宋_GB2312" w:hAnsi="仿宋_GB2312" w:eastAsia="仿宋_GB2312"/>
          <w:b w:val="0"/>
          <w:color w:val="000000"/>
          <w:sz w:val="32"/>
        </w:rPr>
        <w:t>作为自然人独资企业，资本补充依赖股东，抗风险能力相对有限；食品生产许可、抽检合规要求严格。</w:t>
      </w:r>
    </w:p>
    <w:p>
      <w:pPr>
        <w:spacing w:lineRule="exact" w:line="600" w:before="120" w:after="120"/>
        <w:ind w:firstLine="420"/>
        <w:jc w:val="left"/>
      </w:pPr>
      <w:r>
        <w:rPr>
          <w:rFonts w:ascii="楷体_GB2312" w:hAnsi="楷体_GB2312" w:eastAsia="楷体_GB2312"/>
          <w:b w:val="0"/>
          <w:color w:val="000000"/>
          <w:sz w:val="32"/>
        </w:rPr>
        <w:t>（四）企业现有应对措施</w:t>
      </w:r>
    </w:p>
    <w:p>
      <w:pPr>
        <w:spacing w:lineRule="exact" w:line="600" w:before="0" w:after="0"/>
        <w:ind w:firstLine="420"/>
        <w:jc w:val="both"/>
      </w:pPr>
      <w:r>
        <w:rPr>
          <w:rFonts w:ascii="仿宋_GB2312" w:hAnsi="仿宋_GB2312" w:eastAsia="仿宋_GB2312"/>
          <w:b w:val="0"/>
          <w:color w:val="000000"/>
          <w:sz w:val="32"/>
        </w:rPr>
        <w:t>公司通过自动化与标准化降低人工依赖；扩充专利提升产品差异化；拓展进出口与线上渠道分散风险。</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对连锁餐饮大客户的应收账款可开展保理。</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围绕面粉、油脂等原料采购可开展供应链金融。</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自动化产线及冻库设备投资大，可采用融资租赁优化资本结构。</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可作为季节性流动资金的补充渠道。</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山东智研食品有限公司是岱岳区现代食品集群中成长性较好的冷冻烘焙半成品企业，自动化产能与高新技术资质突出。综合评价：产能与定位优势明显，但规模偏小、资本单一、品控合规待强化。</w:t>
      </w:r>
    </w:p>
    <w:p>
      <w:pPr>
        <w:spacing w:lineRule="exact" w:line="600" w:before="0" w:after="0"/>
        <w:ind w:firstLine="420"/>
        <w:jc w:val="both"/>
      </w:pPr>
      <w:r>
        <w:rPr>
          <w:rFonts w:ascii="仿宋_GB2312" w:hAnsi="仿宋_GB2312" w:eastAsia="仿宋_GB2312"/>
          <w:b w:val="0"/>
          <w:color w:val="000000"/>
          <w:sz w:val="32"/>
        </w:rPr>
        <w:t>发展展望：连锁餐饮与烘焙连锁持续扩张，冷冻半成品渗透率提升，公司有望以产能与研发扩大份额。</w:t>
      </w:r>
    </w:p>
    <w:p>
      <w:pPr>
        <w:spacing w:lineRule="exact" w:line="600" w:before="0" w:after="0"/>
        <w:ind w:firstLine="420"/>
        <w:jc w:val="both"/>
      </w:pPr>
      <w:r>
        <w:rPr>
          <w:rFonts w:ascii="仿宋_GB2312" w:hAnsi="仿宋_GB2312" w:eastAsia="仿宋_GB2312"/>
          <w:b w:val="0"/>
          <w:color w:val="000000"/>
          <w:sz w:val="32"/>
        </w:rPr>
        <w:t>建议：一是与山东投资在设备融资租赁、供应链金融方面合作支撑产线升级；二是强化食品安全内控与抽检合规；三是适度引入战略投资者优化资本结构；四是拓展预制菜等关联品类。</w:t>
      </w:r>
    </w:p>
    <w:p>
      <w:pPr>
        <w:spacing w:lineRule="exact" w:line="600" w:before="0" w:after="0"/>
        <w:jc w:val="left"/>
      </w:pPr>
      <w:r>
        <w:rPr>
          <w:rFonts w:ascii="仿宋_GB2312" w:hAnsi="仿宋_GB2312" w:eastAsia="仿宋_GB2312"/>
          <w:b w:val="0"/>
          <w:color w:val="000000"/>
          <w:sz w:val="28"/>
        </w:rPr>
        <w:t>数据来源说明：工商与股权信息来源于国家企业信用信息公示系统、天眼查、企查查；资质信息来源于金融界报道及公开资料；财务数据因公司非上市未公开，已如实标注。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