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泰安市岱岳区现代食品特色产业集群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山东泰尚黄精生物科技有限公司企业分析报告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公司官网（taishanghuangjing.com）及公开资料。统计时点截至2025—2026年公开披露信息。公司为非上市国有控股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泰尚黄精生物科技有限公司成立于2020年5月9日，法定代表人为王兵，统一社会信用代码为91370900MA3T0L8L9A，企业类型为其他有限责任公司。公司注册资本及实缴资本均为8843万元人民币，注册地址位于山东省泰安市岱岳区岱岳经济开发区九女峰路北180米国家现代农业产业园泰山黄精仙草谷，登记机关为泰安市岱岳区市场监督管理局，经营状态为存续（开业）。公司主营中草药种植、黄精产品研发生产销售、食品与保健食品生产销售及进出口等。</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国有控股企业，主要股东包括：泰安市黄精产业发展投资合伙企业（有限合伙）持股33.93%（其上层为泰安市财源建设投资有限公司等国资主体）、仙草谷黄精（泰安）产业发展合伙企业（有限合伙）持股33.79%、山东绿色发展投资集团有限公司持股17.08%、董易然持股15.21%。股权穿透显示疑似实际控制人为泰安市财政局（持股约21.41%）。公司下设3家分支机构，并与泰安市黄精产业发展投资合伙企业等形成产业投资协同。</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2020年设立，是泰安市委市政府重点扶持的国有控股"专精特新"企业，也是全国首家黄精全产业链创新发展智慧化企业。公司建设了1560亩泰山仙草谷基地，并投资建设全国首台套20000平方米黄精深加工智能化工厂，构建"种植—研发—生产—销售"三产融合全产业链，致力于打造百亿级泰山黄精产业集群。</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泰山黄精全产业链国有控股企业，是中国中医药信息学会药食同源分会理事长单位、省级产业化联合体、省级扶贫龙头企业、"泰山黄精"国家地理标志产品（注册号18274474）使用单位。主营业务为泰山黄精种质保护、种植、研发、生产与销售，产品涵盖黄精丝茶、黄精丝酒、黄精胶、黄精口服液、膏、粉、丸、奶昔、黄精面等9大类21个品种。</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公司业务覆盖黄精全产业链：上游种植（仙草谷基地）、中游精深加工（智能化工厂）、下游品牌销售（"泰尚黄"等）。具体收入构成未公开披露。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核心产品为"黄精丝"系列（全国首创，0化肥、0农残、0添加、0人工色素、0反式脂肪酸），包括不同生长年限的黄精丝、黄精丝茶、黄精丝酒、黄精胶、黄精口服液、膏、粉、丸、奶昔、黄精面等9大类21个品种。</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下游客户涵盖保健品/食品经销商、药店连锁、电商平台及文旅康养消费群体。作为地理标志与"好品山东"品牌，主要面向健康消费与礼品市场。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上游以自有基地种植为主，辅以合作种植；采购包括包装材料、生产设备与辅料，供应链可控性强。</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1560亩泰山仙草谷种植基地，规划扩展至5万亩；建成全国首台套20000平方米黄精深加工智能化工厂。持有"泰山黄精"国家地理标志商标，获评高新技术企业、科技型中小企业、专精特新中小企业、瞪羚企业、企业技术中心。注册商标"黄精丝""泰尚黄"等，拥有多项国家发明专利与软件著作权。</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销售以品牌直营、经销商、电商及文旅体验为主，实施"千店星河计划""超星达人计划""免疫产业联盟计划"等渠道拓展策略。</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公司为非上市企业，财务数据未公开披露。公开资料显示参保78人（2024—2025年），注册资本8843万元已实缴，但营业收入与市场占有率无公开量化数据。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山东泰尚黄精生物科技有限公司为非上市国有控股企业，未强制披露经审计年度财务报告，近三年营业收入、净利润、毛利率、资产负债率、经营活动现金流均未公开，本段不作编造。</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黄精精深加工产品具备较高附加值，毛利率通常优于初级农产品，但受原料自给率与品牌投入影响，具体盈利指标未公开。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注册资本8843万元且已实缴，资产以种植基地、智能化工厂、专利与商标为主，生物资产（黄精种植）构成特色资产。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资产负债率未公开。公司由泰安市国资背景股东控股，信用与融资能力较强，A轮融资已实施，资本补充渠道多元。</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经营现金流数据未公开。中药材种植与深加工前期投入大、回收周期长，对营运资金有一定压力。</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与国内其他药食同源（如枸杞、阿胶）龙头企业相比，泰山黄精仍处产业化早期，规模较小但成长空间大、政策与国资支持力度高。</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公司为其他有限责任公司，设董事会与经营管理层，董事长王兵、总经理董易然。作为国有控股企业，治理遵循国资监管与"三重一大"决策制度，党组织在重大决策中发挥把关作用。</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董事长王兵主持战略，总经理董易然负责经营，管理层兼具国资平台与产业经验。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公司建立党组织与现代化企业制度，依托泰山黄精产业技术研究院统筹研发，通过地理标志与质量体系强化内控。</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参保78人（2024—2025年），人员规模50—99人，以种植、研发、生产与营销人员为主，并依托山东农业大学、浙江理工大学等高校合作引入外部专家。</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资源禀赋：泰山黄精道地药材+国家地理标志+1560亩自有基地；第二，全产业琏：种植—研发—智能化工厂—品牌销售一体化，全国首台套黄精深加工智能工厂；第三，国资与政策：泰安市国资控股、重点扶持、百亿集群战略；第四，品牌与标准："黄精丝"品类开创者、"好品山东"、多项专利；第五，研发平台：泰山黄精产业技术研究院+高校合作。</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药食同源保健品行业受监管政策与消费者认知影响，若标准或宣传合规收紧将影响销售。</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中药材种植受气候与病虫害影响，产量与品质波动；新品类的消费者教育成本较高。公开资料显示公司存在一定关联风险记录，需关注。</w:t>
      </w:r>
    </w:p>
    <w:p>
      <w:pPr>
        <w:spacing w:lineRule="exact" w:line="600" w:before="120" w:after="120"/>
        <w:ind w:firstLine="420"/>
        <w:jc w:val="left"/>
      </w:pPr>
      <w:r>
        <w:rPr>
          <w:rFonts w:ascii="楷体_GB2312" w:hAnsi="楷体_GB2312" w:eastAsia="楷体_GB2312"/>
          <w:b w:val="0"/>
          <w:color w:val="000000"/>
          <w:sz w:val="32"/>
        </w:rPr>
        <w:t>（三）财务与合规风险</w:t>
      </w:r>
    </w:p>
    <w:p>
      <w:pPr>
        <w:spacing w:lineRule="exact" w:line="600" w:before="0" w:after="0"/>
        <w:ind w:firstLine="420"/>
        <w:jc w:val="both"/>
      </w:pPr>
      <w:r>
        <w:rPr>
          <w:rFonts w:ascii="仿宋_GB2312" w:hAnsi="仿宋_GB2312" w:eastAsia="仿宋_GB2312"/>
          <w:b w:val="0"/>
          <w:color w:val="000000"/>
          <w:sz w:val="32"/>
        </w:rPr>
        <w:t>种植与工厂前期投入大、回收周期长；食品、保健食品生产许可及广告合规要求严格。</w:t>
      </w:r>
    </w:p>
    <w:p>
      <w:pPr>
        <w:spacing w:lineRule="exact" w:line="600" w:before="120" w:after="120"/>
        <w:ind w:firstLine="420"/>
        <w:jc w:val="left"/>
      </w:pPr>
      <w:r>
        <w:rPr>
          <w:rFonts w:ascii="楷体_GB2312" w:hAnsi="楷体_GB2312" w:eastAsia="楷体_GB2312"/>
          <w:b w:val="0"/>
          <w:color w:val="000000"/>
          <w:sz w:val="32"/>
        </w:rPr>
        <w:t>（四）企业现有应对措施</w:t>
      </w:r>
    </w:p>
    <w:p>
      <w:pPr>
        <w:spacing w:lineRule="exact" w:line="600" w:before="0" w:after="0"/>
        <w:ind w:firstLine="420"/>
        <w:jc w:val="both"/>
      </w:pPr>
      <w:r>
        <w:rPr>
          <w:rFonts w:ascii="仿宋_GB2312" w:hAnsi="仿宋_GB2312" w:eastAsia="仿宋_GB2312"/>
          <w:b w:val="0"/>
          <w:color w:val="000000"/>
          <w:sz w:val="32"/>
        </w:rPr>
        <w:t>公司以标准化种植扩展（规划5万亩）稳定原料；以智能化工厂与专利提升壁垒；以多渠道品牌计划拓展市场。</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对经销商应收账款可开展保理。</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围绕包装、设备与种植农资采购可开展供应链金融。</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黄精深加工智能化设备可采用融资租赁，缓解资本开支。</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可作为季节性流动资金补充。</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山东泰尚黄精生物科技有限公司是岱岳区现代食品集群中极具特色的地标性国有控股企业，资源、政策与全产业链优势突出。综合评价：成长潜力大、护城河清晰，但规模尚小、产业化处于早期。</w:t>
      </w:r>
    </w:p>
    <w:p>
      <w:pPr>
        <w:spacing w:lineRule="exact" w:line="600" w:before="0" w:after="0"/>
        <w:ind w:firstLine="420"/>
        <w:jc w:val="both"/>
      </w:pPr>
      <w:r>
        <w:rPr>
          <w:rFonts w:ascii="仿宋_GB2312" w:hAnsi="仿宋_GB2312" w:eastAsia="仿宋_GB2312"/>
          <w:b w:val="0"/>
          <w:color w:val="000000"/>
          <w:sz w:val="32"/>
        </w:rPr>
        <w:t>发展展望：在"免疫力经济"与健康消费趋势下，黄精药食同源产品市场空间广阔，公司有望成为百亿级产业集群核心载体。</w:t>
      </w:r>
    </w:p>
    <w:p>
      <w:pPr>
        <w:spacing w:lineRule="exact" w:line="600" w:before="0" w:after="0"/>
        <w:ind w:firstLine="420"/>
        <w:jc w:val="both"/>
      </w:pPr>
      <w:r>
        <w:rPr>
          <w:rFonts w:ascii="仿宋_GB2312" w:hAnsi="仿宋_GB2312" w:eastAsia="仿宋_GB2312"/>
          <w:b w:val="0"/>
          <w:color w:val="000000"/>
          <w:sz w:val="32"/>
        </w:rPr>
        <w:t>建议：一是与山东投资在供应链金融、设备融资租赁方面合作；二是规范财务披露以支撑后续股权融资；三是强化地理标志保护与品牌打假；四是拓展"黄精+文旅康养"提升综合收益。</w:t>
      </w:r>
    </w:p>
    <w:p>
      <w:pPr>
        <w:spacing w:lineRule="exact" w:line="600" w:before="0" w:after="0"/>
        <w:jc w:val="left"/>
      </w:pPr>
      <w:r>
        <w:rPr>
          <w:rFonts w:ascii="仿宋_GB2312" w:hAnsi="仿宋_GB2312" w:eastAsia="仿宋_GB2312"/>
          <w:b w:val="0"/>
          <w:color w:val="000000"/>
          <w:sz w:val="28"/>
        </w:rPr>
        <w:t>数据来源说明：工商与股权信息来源于国家企业信用信息公示系统、天眼查、企查查；业务与资质信息来源于公司官网、爱企查及公开资料；财务数据因公司非上市未公开，已如实标注。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