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泰安市岱岳区高端装备制造特色产业集群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泰开集团有限公司企业分析报告</w:t>
      </w:r>
    </w:p>
    <w:p>
      <w:pPr>
        <w:spacing w:lineRule="exact" w:line="600" w:before="0" w:after="0"/>
        <w:jc w:val="left"/>
      </w:pPr>
      <w:r>
        <w:rPr>
          <w:rFonts w:ascii="仿宋_GB2312" w:hAnsi="仿宋_GB2312" w:eastAsia="仿宋_GB2312"/>
          <w:b w:val="0"/>
          <w:color w:val="000000"/>
          <w:sz w:val="28"/>
        </w:rPr>
        <w:t>（本报告数据来源于公司年报/招股说明书、交易所及证监会公开信息、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泰开集团有限公司成立于2002年12月28日，法定代表人、董事长为蔡韬远，统一社会信用代码91370900745684179W，企业类型为有限责任公司（自然人投资或控股），注册资本75,000万元人民币（实缴75,000万元），注册地址位于山东省泰安市高新区中天门大街599号，登记机关为泰安市市场监督管理局开发区分局，经营状态为存续。公司前身为国营泰安高压开关厂，2002年改制后成立泰开集团有限公司，性质由国有转为民营。股权相对分散，主要自然人股东包括刘学敏（持股18.3145%）、赵杰（18.3145%）、赵丽（18.3145%）、王睿（7.8411%）、张斌（7.3258%）、蔡承轩（7.3258%）等，无单一国有控股股东，属民营控股企业。</w:t>
      </w:r>
    </w:p>
    <w:p>
      <w:pPr>
        <w:spacing w:lineRule="exact" w:line="600" w:before="0" w:after="0"/>
        <w:ind w:firstLine="420"/>
        <w:jc w:val="both"/>
      </w:pPr>
      <w:r>
        <w:rPr>
          <w:rFonts w:ascii="仿宋_GB2312" w:hAnsi="仿宋_GB2312" w:eastAsia="仿宋_GB2312"/>
          <w:b w:val="0"/>
          <w:color w:val="000000"/>
          <w:sz w:val="32"/>
        </w:rPr>
        <w:t>根据泰安高新区管委会及权威企业信息平台信息，泰开集团并非国企而是民营企业，连续入选“中国民营企业500强”“中国制造业企业500强”“山东省民营企业百强”，股权由刘学敏、赵杰等自然人持有、无国资控股。</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集团下辖40余家成员企业，核心子公司包括山东泰开高压开关有限公司、山东泰开变压器有限公司、山东泰开电缆有限公司、山东泰开电力电子有限公司、山东泰开互感器有限公司、山东泰开自动化有限公司、山东泰开成套电器有限公司、山东泰开隔离开关有限公司、山东泰开箱变有限公司、山东泰开真空开关有限公司、山东泰开电力建设工程有限公司、山东泰开精密铸造有限公司、山东泰开环保科技有限公司等，形成开关类、线圈类、整站类、新型电力系统、电线电缆、多元化产品的完整产业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国营泰安高压开关厂始建于20世纪70年代，2002年改制成立泰开集团有限公司，40多年来始终专注于输变电装备制造；成长为国家级制造业单项冠军企业、中国制造业企业500强，产品应用于昌吉—古泉±1100kV特高压、扎鲁特—青州±800kV特高压、北京冬奥等重点工程；获“国家科学技术进步奖二等奖”“全国五一劳动奖状”，“泰开”商标被评为“中国驰名商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输变电装备制造行业领军企业之一、中国制造业500强民营企业。主营业务为百万伏及以下电压等级输变电设备的设计制造、工程总包、运维服务的整体解决方案，产品覆盖开关类、线圈类、整站类、新型电力系统、电线电缆及多元化产品，是国家实现“碳达峰、碳中和”目标的重要装备保障力量。</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按产品划分为开关类（高压开关、隔离开关、真空开关等）、线圈类（变压器、互感器、电抗器等）、整站类（成套电器、箱变等）、新型电力系统、电线电缆及多元化产品，并提供输变电工程总包与运维服务。2024年集团实现销售收入301亿元，连续6年入围“中国制造业企业500强”。公司未公开披露分板块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百万伏及以下电压等级输变电设备——高压开关、变压器、互感器、电抗器、电缆、成套电器、箱变、电力电子装置等，以及输变电工程总包与运维服务整体解决方案；产品覆盖发电、输电、配电全环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为国家电网、南方电网、中石油、中石化、中核以及华能、国电投、大唐、国电、华电等企业的核心供应商；同时积极参与国家“一带一路”工程项目建设，产品出口全球70多个国家和地区（部分公开口径称120多个国家和地区），客户资源优质、渠道广泛。</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生产所需硅钢、铜铝、绝缘材料、电子元器件及钢材为主要采购对象，原料价格随大宗商品行情波动；集团规模化采购具备一定议价能力。</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集团拥有国家级制造业单项冠军企业（官网称4项、政府见面会称2家）、国家级绿色工厂、国家级专精特新“小巨人”企业8家、国家认证实验室（CNAS）4个、省级科技创新平台25—31个、高新技术企业29家；1600—2000余人的技术研发团队、1000—1200余项自主专利；获“国家科学技术进步奖二等奖”“全国五一劳动奖状”。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以直销对接电网与能源央企为主，并提供工程总包与运维服务；海外通过“一带一路”与自主拓展并行，产品进入70多个国家和地区；2026年亮相“好品山东·香港山东周”、美国国际输配电展（IEEE PES T&amp;D）等，推进营销转型与海外市场开拓。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集团官网与泰安市政府2025年8月企业家见面会披露：2024年集团实现销售收入301亿元，科研投入13.4亿元，上缴税金13.5亿元，员工14,000余人，产品出口70多个国家和地区，连续6年入围“中国制造业企业500强”（排名约449位），并入选“中国民营企业500强”“山东省民营企业百强”。注：集团母公司（泰开集团有限公司）自身为控股平台，启信宝显示其母公司单体2021年营收约997.70万元、总资产约2,000万元，集团合并口径经营数据以上述官网/政府披露为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泰开集团为非上市民营企业集团，未公开披露完整三张报表；以下列公开披露的集团合并口径经营数据（来源：集团官网、泰安市政府企业家见面会），单位：亿元，不作编造。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2024年集团销售收入</w:t>
            </w:r>
          </w:p>
        </w:tc>
        <w:tc>
          <w:tcPr>
            <w:tcW w:type="dxa" w:w="6236"/>
          </w:tcPr>
          <w:p>
            <w:pPr>
              <w:spacing w:lineRule="exact" w:line="600"/>
              <w:jc w:val="center"/>
            </w:pPr>
            <w:r/>
            <w:r>
              <w:rPr>
                <w:rFonts w:ascii="仿宋_GB2312" w:hAnsi="仿宋_GB2312" w:eastAsia="仿宋_GB2312"/>
                <w:b w:val="0"/>
                <w:color w:val="000000"/>
                <w:sz w:val="32"/>
              </w:rPr>
              <w:t>301亿元</w:t>
            </w:r>
          </w:p>
        </w:tc>
      </w:tr>
      <w:tr>
        <w:tc>
          <w:tcPr>
            <w:tcW w:type="dxa" w:w="2551"/>
          </w:tcPr>
          <w:p>
            <w:pPr>
              <w:spacing w:lineRule="exact" w:line="600"/>
              <w:jc w:val="center"/>
            </w:pPr>
            <w:r/>
            <w:r>
              <w:rPr>
                <w:rFonts w:ascii="仿宋_GB2312" w:hAnsi="仿宋_GB2312" w:eastAsia="仿宋_GB2312"/>
                <w:b w:val="0"/>
                <w:color w:val="000000"/>
                <w:sz w:val="32"/>
              </w:rPr>
              <w:t>2024年科研投入</w:t>
            </w:r>
          </w:p>
        </w:tc>
        <w:tc>
          <w:tcPr>
            <w:tcW w:type="dxa" w:w="6236"/>
          </w:tcPr>
          <w:p>
            <w:pPr>
              <w:spacing w:lineRule="exact" w:line="600"/>
              <w:jc w:val="center"/>
            </w:pPr>
            <w:r/>
            <w:r>
              <w:rPr>
                <w:rFonts w:ascii="仿宋_GB2312" w:hAnsi="仿宋_GB2312" w:eastAsia="仿宋_GB2312"/>
                <w:b w:val="0"/>
                <w:color w:val="000000"/>
                <w:sz w:val="32"/>
              </w:rPr>
              <w:t>13.4亿元</w:t>
            </w:r>
          </w:p>
        </w:tc>
      </w:tr>
      <w:tr>
        <w:tc>
          <w:tcPr>
            <w:tcW w:type="dxa" w:w="2551"/>
          </w:tcPr>
          <w:p>
            <w:pPr>
              <w:spacing w:lineRule="exact" w:line="600"/>
              <w:jc w:val="center"/>
            </w:pPr>
            <w:r/>
            <w:r>
              <w:rPr>
                <w:rFonts w:ascii="仿宋_GB2312" w:hAnsi="仿宋_GB2312" w:eastAsia="仿宋_GB2312"/>
                <w:b w:val="0"/>
                <w:color w:val="000000"/>
                <w:sz w:val="32"/>
              </w:rPr>
              <w:t>2024年上缴税金</w:t>
            </w:r>
          </w:p>
        </w:tc>
        <w:tc>
          <w:tcPr>
            <w:tcW w:type="dxa" w:w="6236"/>
          </w:tcPr>
          <w:p>
            <w:pPr>
              <w:spacing w:lineRule="exact" w:line="600"/>
              <w:jc w:val="center"/>
            </w:pPr>
            <w:r/>
            <w:r>
              <w:rPr>
                <w:rFonts w:ascii="仿宋_GB2312" w:hAnsi="仿宋_GB2312" w:eastAsia="仿宋_GB2312"/>
                <w:b w:val="0"/>
                <w:color w:val="000000"/>
                <w:sz w:val="32"/>
              </w:rPr>
              <w:t>13.5亿元</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约14,000余人</w:t>
            </w:r>
          </w:p>
        </w:tc>
      </w:tr>
      <w:tr>
        <w:tc>
          <w:tcPr>
            <w:tcW w:type="dxa" w:w="2551"/>
          </w:tcPr>
          <w:p>
            <w:pPr>
              <w:spacing w:lineRule="exact" w:line="600"/>
              <w:jc w:val="center"/>
            </w:pPr>
            <w:r/>
            <w:r>
              <w:rPr>
                <w:rFonts w:ascii="仿宋_GB2312" w:hAnsi="仿宋_GB2312" w:eastAsia="仿宋_GB2312"/>
                <w:b w:val="0"/>
                <w:color w:val="000000"/>
                <w:sz w:val="32"/>
              </w:rPr>
              <w:t>出口国家/地区</w:t>
            </w:r>
          </w:p>
        </w:tc>
        <w:tc>
          <w:tcPr>
            <w:tcW w:type="dxa" w:w="6236"/>
          </w:tcPr>
          <w:p>
            <w:pPr>
              <w:spacing w:lineRule="exact" w:line="600"/>
              <w:jc w:val="center"/>
            </w:pPr>
            <w:r/>
            <w:r>
              <w:rPr>
                <w:rFonts w:ascii="仿宋_GB2312" w:hAnsi="仿宋_GB2312" w:eastAsia="仿宋_GB2312"/>
                <w:b w:val="0"/>
                <w:color w:val="000000"/>
                <w:sz w:val="32"/>
              </w:rPr>
              <w:t>70多个（部分口径120多个）</w:t>
            </w:r>
          </w:p>
        </w:tc>
      </w:tr>
      <w:tr>
        <w:tc>
          <w:tcPr>
            <w:tcW w:type="dxa" w:w="2551"/>
          </w:tcPr>
          <w:p>
            <w:pPr>
              <w:spacing w:lineRule="exact" w:line="600"/>
              <w:jc w:val="center"/>
            </w:pPr>
            <w:r/>
            <w:r>
              <w:rPr>
                <w:rFonts w:ascii="仿宋_GB2312" w:hAnsi="仿宋_GB2312" w:eastAsia="仿宋_GB2312"/>
                <w:b w:val="0"/>
                <w:color w:val="000000"/>
                <w:sz w:val="32"/>
              </w:rPr>
              <w:t>中国制造业500强</w:t>
            </w:r>
          </w:p>
        </w:tc>
        <w:tc>
          <w:tcPr>
            <w:tcW w:type="dxa" w:w="6236"/>
          </w:tcPr>
          <w:p>
            <w:pPr>
              <w:spacing w:lineRule="exact" w:line="600"/>
              <w:jc w:val="center"/>
            </w:pPr>
            <w:r/>
            <w:r>
              <w:rPr>
                <w:rFonts w:ascii="仿宋_GB2312" w:hAnsi="仿宋_GB2312" w:eastAsia="仿宋_GB2312"/>
                <w:b w:val="0"/>
                <w:color w:val="000000"/>
                <w:sz w:val="32"/>
              </w:rPr>
              <w:t>连续6年入围（约449位）</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完整公开披露。集团2024年销售收入301亿元、科研投入13.4亿元（研发强度约4.5%），输变电装备制造业整体毛利率受铜铝价格、招标价格与产品结构影响；作为行业领军企业，规模与品牌带来一定盈利稳定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无公开合并资产数据。集团下辖40余家成员企业、固定资产（厂房、设备）规模庞大，重资产属性明显；1000—1200余项专利构成无形资产壁垒。</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无公开合并负债数据。集团作为民营500强、纳税13.5亿元，融资与信用能力较强；但下属制造板块资本开支大，需关注整体杠杆与偿债能力。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无公开合并现金流数据。电网与能源央企客户回款相对有保障，但工程总包业务存在按进度结算、回款周期较长的特点。</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国内输变电装备企业中，泰开集团以301亿元销售收入位列民营企业前列，与国家电网系装备企业（如许继、平高）及特变电工、正泰、思源等民企同处第一梯队；国家级单项冠军、绿色工厂、专精特新“小巨人”数量领先，研发与专利储备雄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控股集团，设董事会（董事长蔡韬远），下辖40余家子公司；作为大型民企集团，建立分层管控与集团化治理体系；非国有，无“三重一大”国资监管，但按上市标准自我规范。党组织在企业发展中发挥引领作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法定代表人、董事长蔡韬远；副总经理王睿等核心管理层具备数十年输变电行业经验，主导技术、市场与国际化战略；2025年泰安市政府见面会上由副总经理王睿代表介绍企业经营成效。</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集团设国家级认证实验室（CNAS）4个、省级科技创新平台25—31个，建立覆盖研发、采购、生产、工程总包的质量与内控体系；推进“数字化+AI人工智能”建设赋能管理。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集团员工约14,000余人，其中技术研发团队1,600—2,000余人；建有完善的人才培养体系（如“高经班”高管培训），研发与技工队伍充实，支撑技术与产品迭代。</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品牌：2024年销售收入301亿元、中国制造业500强、中国驰名商标，行业领军地位稳固。二是技术与资质：国家级制造业单项冠军、绿色工厂、专精特新“小巨人”8家、CNAS实验室4个、1,000—1,200余项专利、国家科技进步奖二等奖，技术壁垒深厚。三是客户壁垒：国家电网、南方电网、五大发电集团等核心供应商，客户优质稳定。四是全产业链：开关、线圈、整站、电缆、新型电力系统完整布局，提供总包与运维一体化解决方案。五是国际化：产品出口70多国、参与“一带一路”，全球渠道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政策风险：输变电装备需求受电网投资与新能源政策节奏影响，特高压与配网投资波动影响订单。二是客户集中风险：高度依赖电网与能源央企，招投标价格竞争压缩毛利。三是原料价格风险：铜、铝、硅钢等大宗商品价格波动影响成本。四是扩张与资金风险：下属板块资本开支大，需关注杠杆与现金流平衡。五是技术与合规风险：高压装备质量与安全事故影响重大，须持续合规投入；国际贸易与 geopolitical 影响海外业务。</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电网/能源央企的应收账款（工程与设备销售）规模大、账期较长，可开展保理融资盘活资金。供应链金融：依托泰开信用，为上游硅钢、线缆、零部件供应商提供订单与存货融资，服务链条企业。融资租赁：下属企业高压开关、变压器、电缆等产线设备投资巨大，适合设备直租/回租，山东投资可重点对接。小贷：面向中小配套供应商短贷。泰开集团规模大、信用强、产业链完整，是稳健型战略重点客户，建议以“核心企业应收保理+供应链金融+设备融资租赁”组合切入，绑定集团与链属企业批量资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泰开集团是泰安岱岳高端装备制造产业集群的链主企业与国内输变电装备行业领军民企，规模、技术、资质、客户与国际化全面领先，但非上市、合并财务透明度有限、高度依赖电网投资与央企客户。发展展望：据行业趋势与公司规划，新型电力系统、新能源并网与“一带一路”出海带动输变电装备需求，集团将推进“数字化+AI”与海外开拓，成长空间明确。建议：一是对接电网应收保理、供应链金融与下属企业设备融资租赁；二是授信前评估集团合并杠杆与现金流，设置增信；三是关注电网投资节奏与国际贸易风险，建立动态监测。</w:t>
      </w:r>
    </w:p>
    <w:p>
      <w:pPr>
        <w:spacing w:lineRule="exact" w:line="600" w:before="0" w:after="0"/>
        <w:jc w:val="left"/>
      </w:pPr>
      <w:r>
        <w:rPr>
          <w:rFonts w:ascii="仿宋_GB2312" w:hAnsi="仿宋_GB2312" w:eastAsia="仿宋_GB2312"/>
          <w:b w:val="0"/>
          <w:color w:val="000000"/>
          <w:sz w:val="28"/>
        </w:rPr>
        <w:t>数据来源说明：泰开集团官网 www.taikai.cn（销售收入301亿、资质、子公司、重点工程）、泰安市政府“产业链上的山东好品牌”企业家见面会（2025年8月，王睿介绍经营数据）、天眼查/爱企查/启信宝（工商、股权、母公司单体财务）、百度企业知识库（民营性质与股权结构）。集团合并财务未完整披露，已注明并以公开经营数据列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