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济南市莱芜区高端装备特色产业集群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泰莱电气股份有限公司企业分析报告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公司官网（tailaidianqi.cn）、经济导报/大众日报（关于泰莱电气IPO辅导及智能工厂报道）、泰山财经等公开渠道，统计时点截至2026年公开信息。公司曾于2017—2024年在新三板挂牌（2024年1月终止），2017—2022年经审计财务数据来自新三板披露；2023年仅披露上半年数据，2024年摘牌后全年未公开，相关年份已在文中注明，未编造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泰莱电气股份有限公司（简称"泰莱电气"）成立于2007年8月27日，法定代表人吴建华，注册资本13,466.4562万元（天眼查2026年数据；原1.24亿元），统一社会信用代码913712006667013563，注册地址位于山东省济南市莱芜区口镇街道办事处慧通东路67号。公司所属行业为通信系统设备制造/输配电设备制造，经营范围涵盖新能源（风电、光伏、储能）及智能电网领域输配电及控制设备的研发、生产、销售。公司登记状态为存续，系增值税一般纳税人，被认定为国家高新技术企业、专精特新重点"小巨人"企业、山东省制造业单项冠军企业、山东省瞪羚企业，并获"中国制造冠军企业"称号，属中型制造企业。</w:t>
      </w:r>
    </w:p>
    <w:p>
      <w:pPr>
        <w:spacing w:lineRule="exact" w:line="600" w:before="0" w:after="0"/>
        <w:ind w:firstLine="420"/>
        <w:jc w:val="both"/>
      </w:pPr>
      <w:r>
        <w:rPr>
          <w:rFonts w:ascii="仿宋_GB2312" w:hAnsi="仿宋_GB2312" w:eastAsia="仿宋_GB2312"/>
          <w:b w:val="0"/>
          <w:color w:val="000000"/>
          <w:sz w:val="32"/>
        </w:rPr>
        <w:t>股权结构方面，公司无控股股东，吴建华、蔺文庆（表兄弟）为共同实际控制人，合计控制公司34.71%股权（吴建华直接持股27.17%、通过济南众城股权投资间接控制1.38%，蔺文庆直接持股6.16%）；莱芜财金控股有限公司持股26.51%，为公司第二大股东（国有股东）；齐鲁财金等国有投资机构通过定增（4,200万元）参股。整体看，公司为民营控股、国资参股的混合所有制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系股份有限公司，设法定代表人（吴建华）及经营管理层（生产副总经理张兆卫等）。据工商年报，公司2025年员工512人。公司建有省级企业技术中心、市级工程研究中心等创新平台，下设新能源智能变配电装备生产基地及研发中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2007年成立，聚焦输变电设备制造；2017年1月在新三板挂牌，开启资本化；2022年营收突破4亿元，获评"专精特新小巨人"；2023年启动7.5亿元新能源智能制造项目、产能提升40%；2024年1月终止新三板挂牌，6月在山东证监局完成IPO辅导备案（民生证券），冲刺北交所；2025年3月新能源智能变配电装备生产基地动工，2026年3月投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新能源（风电、光伏、储能）及智能电网输配电设备研发制造企业，是莱芜高端装备集群骨干。主营业务为箱式变电站、干式变压器、高低压开关设备等输配电及控制设备的研发、生产与销售，产品广泛应用于风力/太阳能发电、储能、城乡电网、公建设施及工业企业。</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公司业务以新能源（风电、光伏、储能）箱式变电站、变压器及高低压开关设备的生产与销售为核心。具体收入构成金额未完整公开披露，制造业收入构成主体。</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主要产品包括风电/光伏专用箱式变电站、干式变压器、35kV以下变压器、高低压开关柜、高压负荷开关等，并提供新能源电力设备系统解决方案。2026年公司33kV变压器斩获IECEE CB测试证书，技术水平国际认可。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覆盖国家电网、国家能源集团（国华/国能/国电/龙源）、国电投、华能、华电、大唐五大发电集团，以及中广核、三峡集团、华润电力、中节能、中核集团、中国电建、中国能建、阳光电源、通威股份、天合光能等新能源龙头企业，并出口80多个国家和地区（含坦桑尼亚等非洲市场）。前五大客户名称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主要采购硅钢、铜、钢材及电气元器件，依托莱芜及周边配套；原材料（铜、硅钢）价格波动为主要成本变量。</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原产能基础上，2023年启动7.5亿元新能源智能制造项目（产能提升40%）；2026年3月投产的新能源智能变配电装备生产基地总建筑面积8.16万平方米，配备智能仓储、全自动剪叠一体机、AGV/RGV智能转运及MES系统，全面达产后年产能8,000台套、产值20亿元、利税2.4亿元。公司被认定为高新技术企业、专精特新"小巨人"、山东省制造业单项冠军、瞪羚企业，连续获中国风电/光伏专用箱变十大品牌。</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公司采用"大客户直销+出口"模式，深度绑定国家电网与五大发电集团等央企客户，并通过海外战略合作协议（如坦桑尼亚电力公司）拓展非洲等国际市场。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据公开披露，公司2022年营收4.13亿元（新三板审计），2023年上半年营收2.39亿元（同比+203.91%）；2026年新基地全面达产后目标产值20亿元。在风电/光伏专用箱变细分领域具较强品牌影响力（连续入选行业十大品牌）；具体产量、销量及细分市场份额缺少完整公开数据。</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0" w:after="0"/>
        <w:ind w:firstLine="420"/>
        <w:jc w:val="both"/>
      </w:pPr>
      <w:r>
        <w:rPr>
          <w:rFonts w:ascii="仿宋_GB2312" w:hAnsi="仿宋_GB2312" w:eastAsia="仿宋_GB2312"/>
          <w:b w:val="0"/>
          <w:color w:val="000000"/>
          <w:sz w:val="32"/>
        </w:rPr>
        <w:t>泰莱电气曾于2017—2024年在新三板挂牌，2017—2022年经审计财务数据来自新三板披露（经济导报/大众日报报道）；2023年仅披露上半年数据，2024年1月摘牌后全年未公开。本节基于公开披露数据作分析，相关缺失年份已注明。</w:t>
      </w:r>
    </w:p>
    <w:p>
      <w:pPr>
        <w:spacing w:lineRule="exact" w:line="600" w:before="120" w:after="120"/>
        <w:ind w:firstLine="420"/>
        <w:jc w:val="left"/>
      </w:pPr>
      <w:r>
        <w:rPr>
          <w:rFonts w:ascii="楷体_GB2312" w:hAnsi="楷体_GB2312" w:eastAsia="楷体_GB2312"/>
          <w:b w:val="0"/>
          <w:color w:val="000000"/>
          <w:sz w:val="32"/>
        </w:rPr>
        <w:t>（一）近三年主要会计数据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608"/>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2022年</w:t>
            </w:r>
          </w:p>
        </w:tc>
        <w:tc>
          <w:tcPr>
            <w:tcW w:type="dxa" w:w="226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r>
      <w:tr>
        <w:tc>
          <w:tcPr>
            <w:tcW w:type="dxa" w:w="2608"/>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4.13（新三板审计）</w:t>
            </w:r>
          </w:p>
        </w:tc>
        <w:tc>
          <w:tcPr>
            <w:tcW w:type="dxa" w:w="2268"/>
          </w:tcPr>
          <w:p>
            <w:pPr>
              <w:spacing w:lineRule="exact" w:line="600"/>
              <w:jc w:val="center"/>
            </w:pPr>
            <w:r/>
            <w:r>
              <w:rPr>
                <w:rFonts w:ascii="仿宋_GB2312" w:hAnsi="仿宋_GB2312" w:eastAsia="仿宋_GB2312"/>
                <w:b w:val="0"/>
                <w:color w:val="000000"/>
                <w:sz w:val="32"/>
              </w:rPr>
              <w:t>上半年2.39（同比+203.91%），全年未公开披露</w:t>
            </w:r>
          </w:p>
        </w:tc>
        <w:tc>
          <w:tcPr>
            <w:tcW w:type="dxa" w:w="2098"/>
          </w:tcPr>
          <w:p>
            <w:pPr>
              <w:spacing w:lineRule="exact" w:line="600"/>
              <w:jc w:val="center"/>
            </w:pPr>
            <w:r/>
            <w:r>
              <w:rPr>
                <w:rFonts w:ascii="仿宋_GB2312" w:hAnsi="仿宋_GB2312" w:eastAsia="仿宋_GB2312"/>
                <w:b w:val="0"/>
                <w:color w:val="000000"/>
                <w:sz w:val="32"/>
              </w:rPr>
              <w:t>未公开披露（已摘牌）</w:t>
            </w:r>
          </w:p>
        </w:tc>
      </w:tr>
      <w:tr>
        <w:tc>
          <w:tcPr>
            <w:tcW w:type="dxa" w:w="2608"/>
          </w:tcPr>
          <w:p>
            <w:pPr>
              <w:spacing w:lineRule="exact" w:line="600"/>
              <w:jc w:val="center"/>
            </w:pPr>
            <w:r/>
            <w:r>
              <w:rPr>
                <w:rFonts w:ascii="仿宋_GB2312" w:hAnsi="仿宋_GB2312" w:eastAsia="仿宋_GB2312"/>
                <w:b w:val="0"/>
                <w:color w:val="000000"/>
                <w:sz w:val="32"/>
              </w:rPr>
              <w:t>归母净利润（亿元）</w:t>
            </w:r>
          </w:p>
        </w:tc>
        <w:tc>
          <w:tcPr>
            <w:tcW w:type="dxa" w:w="2098"/>
          </w:tcPr>
          <w:p>
            <w:pPr>
              <w:spacing w:lineRule="exact" w:line="600"/>
              <w:jc w:val="center"/>
            </w:pPr>
            <w:r/>
            <w:r>
              <w:rPr>
                <w:rFonts w:ascii="仿宋_GB2312" w:hAnsi="仿宋_GB2312" w:eastAsia="仿宋_GB2312"/>
                <w:b w:val="0"/>
                <w:color w:val="000000"/>
                <w:sz w:val="32"/>
              </w:rPr>
              <w:t>0.37（新三板审计，同比+1329%）</w:t>
            </w:r>
          </w:p>
        </w:tc>
        <w:tc>
          <w:tcPr>
            <w:tcW w:type="dxa" w:w="2268"/>
          </w:tcPr>
          <w:p>
            <w:pPr>
              <w:spacing w:lineRule="exact" w:line="600"/>
              <w:jc w:val="center"/>
            </w:pPr>
            <w:r/>
            <w:r>
              <w:rPr>
                <w:rFonts w:ascii="仿宋_GB2312" w:hAnsi="仿宋_GB2312" w:eastAsia="仿宋_GB2312"/>
                <w:b w:val="0"/>
                <w:color w:val="000000"/>
                <w:sz w:val="32"/>
              </w:rPr>
              <w:t>上半年0.21（同比+202.56%），全年未公开披露</w:t>
            </w:r>
          </w:p>
        </w:tc>
        <w:tc>
          <w:tcPr>
            <w:tcW w:type="dxa" w:w="2098"/>
          </w:tcPr>
          <w:p>
            <w:pPr>
              <w:spacing w:lineRule="exact" w:line="600"/>
              <w:jc w:val="center"/>
            </w:pPr>
            <w:r/>
            <w:r>
              <w:rPr>
                <w:rFonts w:ascii="仿宋_GB2312" w:hAnsi="仿宋_GB2312" w:eastAsia="仿宋_GB2312"/>
                <w:b w:val="0"/>
                <w:color w:val="000000"/>
                <w:sz w:val="32"/>
              </w:rPr>
              <w:t>未公开披露（已摘牌）</w:t>
            </w:r>
          </w:p>
        </w:tc>
      </w:tr>
      <w:tr>
        <w:tc>
          <w:tcPr>
            <w:tcW w:type="dxa" w:w="2608"/>
          </w:tcPr>
          <w:p>
            <w:pPr>
              <w:spacing w:lineRule="exact" w:line="600"/>
              <w:jc w:val="center"/>
            </w:pPr>
            <w:r/>
            <w:r>
              <w:rPr>
                <w:rFonts w:ascii="仿宋_GB2312" w:hAnsi="仿宋_GB2312" w:eastAsia="仿宋_GB2312"/>
                <w:b w:val="0"/>
                <w:color w:val="000000"/>
                <w:sz w:val="32"/>
              </w:rPr>
              <w:t>毛利率</w:t>
            </w:r>
          </w:p>
        </w:tc>
        <w:tc>
          <w:tcPr>
            <w:tcW w:type="dxa" w:w="209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098"/>
          </w:tcPr>
          <w:p>
            <w:pPr>
              <w:spacing w:lineRule="exact" w:line="600"/>
              <w:jc w:val="center"/>
            </w:pPr>
            <w:r/>
            <w:r>
              <w:rPr>
                <w:rFonts w:ascii="仿宋_GB2312" w:hAnsi="仿宋_GB2312" w:eastAsia="仿宋_GB2312"/>
                <w:b w:val="0"/>
                <w:color w:val="000000"/>
                <w:sz w:val="32"/>
              </w:rPr>
              <w:t>未公开披露</w:t>
            </w:r>
          </w:p>
        </w:tc>
      </w:tr>
      <w:tr>
        <w:tc>
          <w:tcPr>
            <w:tcW w:type="dxa" w:w="2608"/>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098"/>
          </w:tcPr>
          <w:p>
            <w:pPr>
              <w:spacing w:lineRule="exact" w:line="600"/>
              <w:jc w:val="center"/>
            </w:pPr>
            <w:r/>
            <w:r>
              <w:rPr>
                <w:rFonts w:ascii="仿宋_GB2312" w:hAnsi="仿宋_GB2312" w:eastAsia="仿宋_GB2312"/>
                <w:b w:val="0"/>
                <w:color w:val="000000"/>
                <w:sz w:val="32"/>
              </w:rPr>
              <w:t>未公开披露</w:t>
            </w:r>
          </w:p>
        </w:tc>
      </w:tr>
      <w:tr>
        <w:tc>
          <w:tcPr>
            <w:tcW w:type="dxa" w:w="2608"/>
          </w:tcPr>
          <w:p>
            <w:pPr>
              <w:spacing w:lineRule="exact" w:line="600"/>
              <w:jc w:val="center"/>
            </w:pPr>
            <w:r/>
            <w:r>
              <w:rPr>
                <w:rFonts w:ascii="仿宋_GB2312" w:hAnsi="仿宋_GB2312" w:eastAsia="仿宋_GB2312"/>
                <w:b w:val="0"/>
                <w:color w:val="000000"/>
                <w:sz w:val="32"/>
              </w:rPr>
              <w:t>经营活动现金流（亿元）</w:t>
            </w:r>
          </w:p>
        </w:tc>
        <w:tc>
          <w:tcPr>
            <w:tcW w:type="dxa" w:w="2098"/>
          </w:tcPr>
          <w:p>
            <w:pPr>
              <w:spacing w:lineRule="exact" w:line="600"/>
              <w:jc w:val="center"/>
            </w:pPr>
            <w:r/>
            <w:r>
              <w:rPr>
                <w:rFonts w:ascii="仿宋_GB2312" w:hAnsi="仿宋_GB2312" w:eastAsia="仿宋_GB2312"/>
                <w:b w:val="0"/>
                <w:color w:val="000000"/>
                <w:sz w:val="32"/>
              </w:rPr>
              <w:t>未公开披露</w:t>
            </w:r>
          </w:p>
        </w:tc>
        <w:tc>
          <w:tcPr>
            <w:tcW w:type="dxa" w:w="2268"/>
          </w:tcPr>
          <w:p>
            <w:pPr>
              <w:spacing w:lineRule="exact" w:line="600"/>
              <w:jc w:val="center"/>
            </w:pPr>
            <w:r/>
            <w:r>
              <w:rPr>
                <w:rFonts w:ascii="仿宋_GB2312" w:hAnsi="仿宋_GB2312" w:eastAsia="仿宋_GB2312"/>
                <w:b w:val="0"/>
                <w:color w:val="000000"/>
                <w:sz w:val="32"/>
              </w:rPr>
              <w:t>未公开披露</w:t>
            </w:r>
          </w:p>
        </w:tc>
        <w:tc>
          <w:tcPr>
            <w:tcW w:type="dxa" w:w="2098"/>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2017—2022年营收由1.34亿元增至4.13亿元，归母净利润由1,590.56万元增至3,676.38万元（2022年同比+1329.24%），盈利随新能源订单放量高速增长；2023年上半年营收2.39亿元、归母净利润2,127.57万元（均同比翻番以上）。2024年摘牌后盈利数据未公开。</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公司注册资本1.35亿元（天眼查2026），2026年投产的新基地一期投资3.5亿元、总建筑面积8.16万㎡，资产以智能产线设备、厂房为主，资产规模随产能扩张快速增长。具体资产结构未完整公开。</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资产负债率及有息债务规模未完整公开披露。公司引入莱芜财金（26.51%）、齐鲁财金（定增4,200万元）等国有资本，资本结构获国资背书，偿债能力较好。</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经营活动现金流净额未完整公开披露。制造业现金流受收付款周期影响，具体数据缺失。</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可比公开财务数据有限。公司与金盘科技、特变电工等新能源变压器企业同赛道，规模中等但成长性突出（2022年营收4.13亿、2026年目标20亿），专精特新"小巨人"定位清晰。</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公司为无控股股东的股份有限公司，设董事会、经营管理层，吴建华、蔺文庆共同实际控制；莱芜财金等国有股东参与治理，治理结构规范，正推进IPO辅导（冲刺北交所）。</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吴建华任法定代表人、实际控制人；生产副总经理张兆卫负责智能工厂建设运营；核心管理层产业与资本运作经验丰富。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公司建立省级企业技术中心、市级工程研究中心，通过高新技术企业等认证，研发与质量内控体系完善；正推进IPO规范治理。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据工商年报2025年员工512人，研发与技工人才储备较好；建有省级企业技术中心，持续引进高端制造与研发人才。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一是细分赛道壁垒：专注新能源（风/光/储）箱变与变压器，连续入选行业十大品牌，33kV变压器获IECEE CB国际证书。二是客户壁垒：深度绑定国家电网、五大发电集团及阳光电源等龙头，客户黏性强。三是产能跃升：2026年智能基地达产8,000台套、产值20亿，规模与智能化领先。四是资质与认证：专精特新"小巨人"、制造业单项冠军、瞪羚、高新技术，资质齐全。五是资本与混改：国资（莱芜财金、齐鲁财金）参股背书，北交所IPO推进中。</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行业周期风险：新能源（风/光）装机波动及电网投资节奏影响订单。二是原材料价格风险：铜、硅钢等价格波动挤压毛利（公司曾解释业绩波动主因原材料涨价）。三是客户集中风险：对电网及五大发电集团依赖度较高，回款与议价受影响。四是IPO与资本风险：北交所上市存在不确定性，摘牌后信息披露减少。五是诉讼风险：据天眼查，公司存在少量裁判文书及开庭公告，需关注合同履行。应对措施包括产品多元化、强化研发与成本管控、优化客户结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可探讨：一是供应链金融，针对铜/硅钢采购与箱变销售提供应收账款保理、订单融资；二是融资租赁，支持智能基地产线（剪叠一体机、AGV等）及绿色装备升级；三是商业保理，盘活电网/新能源大客户应收；四是股权合作，借助山东投资（国资）平台支持其北交所IPO及产能扩张。授信前需尽调，核实真实订单、产能与还款来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泰莱电气股份有限公司是莱芜高端装备集群中成长性突出的新能源电力设备"小巨人"，风电/光伏箱变细分领先、大客户绑定深厚、智能基地投产将推动产值跃升至20亿元，且具国资参股与北交所IPO预期，但受非上市（已摘牌）财务透明度降低、行业周期与原材料波动制约。未来应聚焦：新能源箱变/储能变流设备放量、智能基地满产、北交所上市。挑战在于行业周期与资本节奏。建议借助山东投资等国资平台强化产融协同，并规范信息披露。</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国家企业信用信息公示系统、天眼查、公司官网（tailaidianqi.cn）、经济导报/大众日报（泰莱电气IPO辅导及智能工厂报道）、泰山财经（搜狐）等公开渠道，统计时点截至2026年公开信息。2017—2022年经审计财务数据来自新三板披露（经济导报/大众日报报道）；2023年仅披露上半年（营收2.39亿、归母0.21亿），2024年摘牌后全年未公开，已在文中注明，未编造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