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济南市钢城区经济开发区粉末冶金特色产业集群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济南新艺粉末冶金有限公司企业分析报告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济南新艺粉末冶金有限公司成立于2000年8月22日，法定代表人巩立国，统一社会信用代码91371200724976033W，企业类型为有限责任公司，注册资本1,377.272727万元，注册地址位于山东省济南市钢城区，登记机关为济南市钢城区市场监督管理局，经营状态为存续。2024年12月被鲁银投资集团股份有限公司（600784.SH）收购55%股权，成为鲁银新材下游控股子公司，是钢城区粉末冶金特色产业集群制品环节重要企业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2024年12月鲁银投资以现金8,289.556万元收购新艺粉末55%股权，交易后新艺粉末成为鲁银投资控股子公司；为解决股权代持，全体21名实际股东设立源鸿投资（济南钢城区）合伙企业（有限合伙）受让剩余45%股权，实控人吕元之实际持股约53.4655%。公司现为国有控股混合所有制（鲁银投资控股55%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公司作为鲁银新材下游制品企业，设研发、生产、质量与经营管理层，主营粉末冶金汽车零部件制造；对外投资粉末冶金产业国际人才合作（莱芜）有限公司（持股20%）。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2000年8月成立，长期专注粉末冶金汽车零部件；2024年12月鲁银投资公告拟以8,289.556万元收购其55%股权，新上新能源汽车高精密粉末冶金零件项目，成为鲁银新材产业链下游延伸的关键一环；交易设三年业绩承诺（2025—2027年归母净利润分别不低于1,894.06万、2,006.92万、2,304.85万元，累计不低于6,205.83万元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粉末冶金汽车零部件专业制造商、鲁银新材下游制品平台。主营业务为粉末冶金汽车零部件产品，包括正时链轮系列、轴承盖系列、VVT链轮/定转子系列、带轮系列以及机油泵系列等，广泛应用于新能源汽车及燃油车领域，服务于国内主要汽车制造企业和发动机整机制造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业务聚焦粉末冶金汽车零部件，形成正时链轮、轴承盖、VVT链轮/定转子、带轮、机油泵等系列，应用于新能源与燃油车。公司未公开披露分产品收入占比。2024年1—9月营业收入1.14亿元。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主要产品：正时链轮系列、轴承盖系列、VVT（可变气门正时）链轮/定转子系列、带轮系列、机油泵系列等粉末冶金汽车零部件；拥有致密化和高密度两项行业关键专利技术，具备专业优势。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客户为国内主要汽车制造企业和发动机整机制造商，服务于新能源汽车及燃油车供应链，客户层级较高。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生产所需铁粉、合金粉（主要为上游鲁银新材等金属粉末）及设备为主要投入，依托鲁银新材稳定原料来源形成协同。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拥有致密化、高密度两项行业关键专利技术；2024年净资产9,608.55万元；新上新能源汽车高精密粉末冶金零件项目。具体产能数据未公开披露。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以直销对接整车厂与发动机整机厂为主，依托鲁银新材渠道协同拓展客户。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据鲁银投资收购公告，2024年1—9月实现营业收入1.14亿元、净利润1,469.59万元、净资产9,608.55万元；在粉末冶金汽车零部件细分领域具专业地位，但整体规模中等，未公开细分市占率。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济南新艺为非上市企业，仅2024年1—9月数据经审计披露（鲁银投资收购公告），以下列公开值，单位：万元，不作编造。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2024年1—9月（经审计）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2025—2027业绩承诺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11,400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净利润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1,469.59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净资产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9,608.55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归母净利润承诺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1,894/2,007/2,305（万元）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三年累计承诺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6,205.83（万元）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2024年1—9月净利润1,469.59万元，盈利稳定；业绩承诺2025—2027年归母净利润分别不低于1,894.06万、2,006.92万、2,304.85万元（累计6,205.83万），体现稳健增长预期。粉末冶金汽车零部件毛利率通常优于传统机加工。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2024年9月末净资产9,608.55万元，资产以固定资产（压机、模具）、存货与应收为主。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无公开负债数据。国有控股后融资可得性提升，建议授信前核查有息负债与对外担保。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无公开现金流数据。汽车零部件回款周期较长，需关注经营性现金流。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与鲁银新材（金属粉末龙头）形成上下游协同，新艺专注制品环节；相较单纯零件厂，其国企控股+鲁银新材原料协同构成差异化优势。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国有控股混合所有制，设董事会及经营管理层；鲁银投资履行出资人职责，须落实国资监管与“三重一大”程序。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法定代表人巩立国；实控人吕元之（通过源鸿投资持股约53.47%）；管理层兼顾国有与民营股东安排。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作为汽车零部件供应商，须通过IATF16949等车规体系；国有控股后内控与合规强化。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未公开披露人员规模，以生产与技术工人为主；两项关键专利体现研发能力。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技术专利：拥有致密化、高密度两项行业关键专利技术，专业优势明显。二是产业链协同：被鲁银新材（金属粉末龙头）收购控股，获稳定原料来源与销售渠道协同。三是客户资源：服务国内主要车企与发动机整机厂，客户层级高。四是国资背书：鲁银投资（省属国企控股）控股，融资与信用优势。五是新能源赛道：新能源汽车高精密粉末冶金零件项目契合行业增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汽车周期风险：收入依赖汽车市场，受整车销量与价格影响；应对为拓展新能源客户。二是整合风险：被鲁银投资收购后管理协同、文化融合与业绩承诺兑现需关注。三是客户集中风险：依赖少数整车/发动机厂订单。四是原料风险：铁粉/合金粉价格波动影响成本，但与鲁银新材协同可缓释。五是产能消化风险：新能源项目扩产需匹配需求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整车厂的应收账款可开展保理。供应链金融：围绕核心客户做订单融资，并依托鲁银新材原料协同开展上游融资。融资租赁：新能源高精密零件项目设备适合直租/回租。小贷：面向临时周转。作为鲁银新材下游国有控股企业，建议以“设备融资租赁+核心客户应收保理”切入，并关注业绩承诺兑现与整合进度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济南新艺是鲁银新材下游粉末冶金汽车零部件平台，拥有致密化/高密度关键专利、稳定车企客户与国企协同优势，盈利稳健、业绩承诺清晰，但规模中等、依赖汽车周期。发展展望：据行业趋势，新能源汽车高精密粉末冶金零件需求增长，新上项目与鲁银新材协同将打开空间。建议：一是对接新能源零件项目设备融资租赁与核心客户应收保理；二是关注业绩承诺兑现与整合协同；三是依托鲁银新材链条开展供应链金融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鲁银投资（600784.SH）关于收购新艺粉末55%股权的公告（2024-12）、操盘必读/东方财富F10（新艺粉末产品与业绩承诺）、天眼查（工商、股权、吕元之实控）、济南钢城区新闻发布会（鲁银新材收购新艺、向下游延伸）。近年完整财务未公开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