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济南高新区高端激光装备特色产业集群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山东华光光电子股份有限公司企业分析报告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山东华光光电子股份有限公司官网（hggd.cn）、山东产权交易中心增资挂牌公告（2025-09）、泰山财经公开报道（2025-09、2025-12）、上海证券交易所A股基本信息表（华光光电，数据日期2026-08-11）等渠道，统计时点截至2025年公开信息。山东华光光电子股份有限公司为非上市股份有限公司（曾新三板挂牌、科创板申报撤回后重启IPO），其2022—2024年营业收入、净利润数据来源于山东产权交易中心增资挂牌公告及泰山财经报道（源自公司招股书/评估基准日财务数据），非上市审计年报口径，已在文中注明；其余经审计年报数据未完整公开，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华光光电子股份有限公司（证券简称"华光光电"）成立于1999年11月12日，法定代表人为吴德华，注册资本6,264.6666万元，统一社会信用代码为91370100863130396A，注册地址位于济南高新区天辰路1835号。公司类型为其他股份有限公司（非上市），所属行业为计算机、通信和其他电子设备制造业（光电子器件制造），登记机关为济南高新技术产业开发区管委会市场监管局，登记状态为存续。公司人员规模100—499人，2025年参保人数399人。公司曾于2016年8月4日在新三板挂牌（股票代码838157，证券简称华光光电），2019年4月摘牌；2023年6月申报上交所科创板，2024年6月撤回申请，现重启IPO（保荐机构为中国国际金融股份有限公司）。</w:t>
      </w:r>
    </w:p>
    <w:p>
      <w:pPr>
        <w:spacing w:lineRule="exact" w:line="600" w:before="0" w:after="0"/>
        <w:ind w:firstLine="420"/>
        <w:jc w:val="both"/>
      </w:pPr>
      <w:r>
        <w:rPr>
          <w:rFonts w:ascii="仿宋_GB2312" w:hAnsi="仿宋_GB2312" w:eastAsia="仿宋_GB2312"/>
          <w:b w:val="0"/>
          <w:color w:val="000000"/>
          <w:sz w:val="32"/>
        </w:rPr>
        <w:t>股权结构方面，公司控股股东为山东浪潮光电科技有限公司（浪潮集团旗下企业），直接持股50.96%；其他主要股东包括山东银吉创业投资基金（有限合伙，6.65%）、潍坊市投资集团有限公司（6.08%）、山东省财金投资集团有限公司（4.75%）、山东华特控股集团有限公司（3.74%）、深圳市创新投资集团有限公司（3.17%）、山东华众沃赋股权投资基金（3.99%）等。公司实际控制人为山东省人民政府国有资产监督管理委员会（通过浪潮集团—山东浪潮光电科技有限公司），系国有控股的光电子器件骨干企业，并引入深创投、山东省财金、潍坊投资等多方国有及创投资本。</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拥有济南和潍坊两大生产研发基地，内部设研发（外延、芯片、器件、模组）、生产、销售、质量等职能体系，并建有完善的研发与产业化平台。公司曾发起山东省集成电路产业协会相关活动，行业组织参与度较高。作为浪潮集团旗下企业，治理纳入浪潮集团国资管控体系。</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成立于1999年11月，最初由潍坊华光集团有限责任公司、山东大学和原山东工业大学共同出资设立；后成为山东浪潮华光光电子股份有限公司全资子公司；2015年经业务与资产重组，山东浪潮光电科技有限公司成为公司直接控股股东。2016年8月挂牌新三板，2019年4月摘牌；2023年6月申报科创板，拟发行不超过2,088.22万股、募资5.73亿元用于半导体激光器外延、芯片及器件产业化工程，2024年6月撤回；2025年9月启动增资扩股挂牌（融资0.5—2.1亿元、投前估值16.6亿元），并重启IPO辅导（中金保荐）。二十余年间，公司成长为国内半导体激光器领域的重要企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半导体激光器外延材料及应用产品开发企业，是济南高新区高端激光装备特色产业集群的核心零部件（激光芯片/器件）代表企业。主营业务为半导体激光器外延片、芯片、器件和模组的研发、生产和销售，主要产品包括半导体激光器芯片、巴条、器件和模组等，波长覆盖紫光段到近红外波段，产品广泛应用于传感、智能制造、医疗健康、光刻与印刷、激光打印机等领域，是国内中小功率半导体激光元器件产销量连续多年领先的企业。</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半导体激光器为核心，按产品分为外延片、芯片、巴条（高功率叠阵）、单管封装器件、光纤耦合半导体激光器（FH/FM/FT）等系列，并向模组与应用产品延伸。收入构成以半导体激光元器件（芯片、器件、模组）为主，下游覆盖传感、智能制造、医疗美容、光刻印刷、激光打印机等。具体收入构成比例未完整公开。</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包括：激光外延片（Epitaxy，激光产业核心）、激光芯片（Chip，产业关键）、高效叠阵激光器（HD，金锡封装，寿命长、可靠性高，用于医疗美容等）、单管封装激光器（中小功率半导体激光元器件，产销量国内连续多年领先）、光纤耦合半导体激光器（FH/FM/FT多芯片封装）等，波长覆盖紫光到近红外。产品面向传感、智能制造、医疗健康、光刻印刷、激光打印机等应用。</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下游客户覆盖半导体激光器应用领域的设备制造商与系统集成商，应用于传感、智能制造、医疗健康、光刻印刷、激光打印机等行业。前五大客户名称未公开披露；作为国有控股核心零部件企业，客户稳定性较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上游采购主要包括半导体材料（衬底、外延材料）、光学元件、封装材料（如金锡封装材料）、电子元器件及设备备件等。作为IDM模式企业（外延—芯片—器件—模组全链条），公司具备较强的内部配套能力，关键工艺自主可控。</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济南和潍坊两大生产研发基地，具备半导体激光器"外延片—芯片—器件—模组"全产业链研发与制造能力，是国内少数实现全链条自主的半导体激光器企业之一。产品系列覆盖TO5.6、TO3.3封装、C-Mount单芯片、光纤耦合多芯片（FH/FM/FT）、宏通道叠阵（HD）等多个封装形态。公司参与行业标准制定，并作为山东省集成电路产业协会重要成员，技术与资质资源较优。</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公司采用"直销+行业客户"模式，面向半导体激光器应用领域的设备制造商与系统集成商，依托济南、潍坊双基地服务全国及海外市场。作为国有控股核心零部件企业，亦通过浪潮集团产业生态协同拓展应用。</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山东产权交易中心增资挂牌公告及泰山财经报道（源自公司招股书/评估基准日财务数据，非上市审计年报口径），2022—2024年公司分别实现营业收入3.18亿元、3.75亿元、4.10亿元，净利润3,670.72万元、3,426.37万元、5,665.73万元，呈稳健增长态势；其中中小功率半导体激光元器件产销量国内连续多年领先。具体细分市场份额缺少公开第三方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0" w:after="0"/>
        <w:ind w:firstLine="420"/>
        <w:jc w:val="both"/>
      </w:pPr>
      <w:r>
        <w:rPr>
          <w:rFonts w:ascii="仿宋_GB2312" w:hAnsi="仿宋_GB2312" w:eastAsia="仿宋_GB2312"/>
          <w:b w:val="0"/>
          <w:color w:val="000000"/>
          <w:sz w:val="32"/>
        </w:rPr>
        <w:t>山东华光光电子股份有限公司为非上市股份有限公司（曾新三板、科创板申报撤回后重启IPO）。其2022—2024年营业收入、净利润数据来源于山东产权交易中心增资挂牌公告及泰山财经公开报道（源自公司招股书/评估基准日财务数据），非上市审计年报口径，本节据此作表格化呈现并注明来源；2024年末资产、负债、净资产数据同源于挂牌公告（评估基准日2024年12月31日）。</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835"/>
          </w:tcPr>
          <w:p>
            <w:pPr>
              <w:spacing w:lineRule="exact" w:line="600"/>
              <w:jc w:val="center"/>
            </w:pPr>
            <w:r/>
            <w:r>
              <w:rPr>
                <w:rFonts w:ascii="黑体" w:hAnsi="黑体" w:eastAsia="黑体"/>
                <w:b/>
                <w:color w:val="000000"/>
                <w:sz w:val="32"/>
              </w:rPr>
              <w:t>指标</w:t>
            </w:r>
          </w:p>
        </w:tc>
        <w:tc>
          <w:tcPr>
            <w:tcW w:type="dxa" w:w="2041"/>
          </w:tcPr>
          <w:p>
            <w:pPr>
              <w:spacing w:lineRule="exact" w:line="600"/>
              <w:jc w:val="center"/>
            </w:pPr>
            <w:r/>
            <w:r>
              <w:rPr>
                <w:rFonts w:ascii="黑体" w:hAnsi="黑体" w:eastAsia="黑体"/>
                <w:b/>
                <w:color w:val="000000"/>
                <w:sz w:val="32"/>
              </w:rPr>
              <w:t>2022年</w:t>
            </w:r>
          </w:p>
        </w:tc>
        <w:tc>
          <w:tcPr>
            <w:tcW w:type="dxa" w:w="2041"/>
          </w:tcPr>
          <w:p>
            <w:pPr>
              <w:spacing w:lineRule="exact" w:line="600"/>
              <w:jc w:val="center"/>
            </w:pPr>
            <w:r/>
            <w:r>
              <w:rPr>
                <w:rFonts w:ascii="黑体" w:hAnsi="黑体" w:eastAsia="黑体"/>
                <w:b/>
                <w:color w:val="000000"/>
                <w:sz w:val="32"/>
              </w:rPr>
              <w:t>2023年</w:t>
            </w:r>
          </w:p>
        </w:tc>
        <w:tc>
          <w:tcPr>
            <w:tcW w:type="dxa" w:w="2041"/>
          </w:tcPr>
          <w:p>
            <w:pPr>
              <w:spacing w:lineRule="exact" w:line="600"/>
              <w:jc w:val="center"/>
            </w:pPr>
            <w:r/>
            <w:r>
              <w:rPr>
                <w:rFonts w:ascii="黑体" w:hAnsi="黑体" w:eastAsia="黑体"/>
                <w:b/>
                <w:color w:val="000000"/>
                <w:sz w:val="32"/>
              </w:rPr>
              <w:t>2024年</w:t>
            </w:r>
          </w:p>
        </w:tc>
      </w:tr>
      <w:tr>
        <w:tc>
          <w:tcPr>
            <w:tcW w:type="dxa" w:w="2835"/>
          </w:tcPr>
          <w:p>
            <w:pPr>
              <w:spacing w:lineRule="exact" w:line="600"/>
              <w:jc w:val="center"/>
            </w:pPr>
            <w:r/>
            <w:r>
              <w:rPr>
                <w:rFonts w:ascii="仿宋_GB2312" w:hAnsi="仿宋_GB2312" w:eastAsia="仿宋_GB2312"/>
                <w:b w:val="0"/>
                <w:color w:val="000000"/>
                <w:sz w:val="32"/>
              </w:rPr>
              <w:t>营业收入（亿元）</w:t>
            </w:r>
          </w:p>
        </w:tc>
        <w:tc>
          <w:tcPr>
            <w:tcW w:type="dxa" w:w="2041"/>
          </w:tcPr>
          <w:p>
            <w:pPr>
              <w:spacing w:lineRule="exact" w:line="600"/>
              <w:jc w:val="center"/>
            </w:pPr>
            <w:r/>
            <w:r>
              <w:rPr>
                <w:rFonts w:ascii="仿宋_GB2312" w:hAnsi="仿宋_GB2312" w:eastAsia="仿宋_GB2312"/>
                <w:b w:val="0"/>
                <w:color w:val="000000"/>
                <w:sz w:val="32"/>
              </w:rPr>
              <w:t>3.18</w:t>
            </w:r>
          </w:p>
        </w:tc>
        <w:tc>
          <w:tcPr>
            <w:tcW w:type="dxa" w:w="2041"/>
          </w:tcPr>
          <w:p>
            <w:pPr>
              <w:spacing w:lineRule="exact" w:line="600"/>
              <w:jc w:val="center"/>
            </w:pPr>
            <w:r/>
            <w:r>
              <w:rPr>
                <w:rFonts w:ascii="仿宋_GB2312" w:hAnsi="仿宋_GB2312" w:eastAsia="仿宋_GB2312"/>
                <w:b w:val="0"/>
                <w:color w:val="000000"/>
                <w:sz w:val="32"/>
              </w:rPr>
              <w:t>3.75</w:t>
            </w:r>
          </w:p>
        </w:tc>
        <w:tc>
          <w:tcPr>
            <w:tcW w:type="dxa" w:w="2041"/>
          </w:tcPr>
          <w:p>
            <w:pPr>
              <w:spacing w:lineRule="exact" w:line="600"/>
              <w:jc w:val="center"/>
            </w:pPr>
            <w:r/>
            <w:r>
              <w:rPr>
                <w:rFonts w:ascii="仿宋_GB2312" w:hAnsi="仿宋_GB2312" w:eastAsia="仿宋_GB2312"/>
                <w:b w:val="0"/>
                <w:color w:val="000000"/>
                <w:sz w:val="32"/>
              </w:rPr>
              <w:t>4.10</w:t>
            </w:r>
          </w:p>
        </w:tc>
      </w:tr>
      <w:tr>
        <w:tc>
          <w:tcPr>
            <w:tcW w:type="dxa" w:w="2835"/>
          </w:tcPr>
          <w:p>
            <w:pPr>
              <w:spacing w:lineRule="exact" w:line="600"/>
              <w:jc w:val="center"/>
            </w:pPr>
            <w:r/>
            <w:r>
              <w:rPr>
                <w:rFonts w:ascii="仿宋_GB2312" w:hAnsi="仿宋_GB2312" w:eastAsia="仿宋_GB2312"/>
                <w:b w:val="0"/>
                <w:color w:val="000000"/>
                <w:sz w:val="32"/>
              </w:rPr>
              <w:t>净利润（亿元）</w:t>
            </w:r>
          </w:p>
        </w:tc>
        <w:tc>
          <w:tcPr>
            <w:tcW w:type="dxa" w:w="2041"/>
          </w:tcPr>
          <w:p>
            <w:pPr>
              <w:spacing w:lineRule="exact" w:line="600"/>
              <w:jc w:val="center"/>
            </w:pPr>
            <w:r/>
            <w:r>
              <w:rPr>
                <w:rFonts w:ascii="仿宋_GB2312" w:hAnsi="仿宋_GB2312" w:eastAsia="仿宋_GB2312"/>
                <w:b w:val="0"/>
                <w:color w:val="000000"/>
                <w:sz w:val="32"/>
              </w:rPr>
              <w:t>0.37</w:t>
            </w:r>
          </w:p>
        </w:tc>
        <w:tc>
          <w:tcPr>
            <w:tcW w:type="dxa" w:w="2041"/>
          </w:tcPr>
          <w:p>
            <w:pPr>
              <w:spacing w:lineRule="exact" w:line="600"/>
              <w:jc w:val="center"/>
            </w:pPr>
            <w:r/>
            <w:r>
              <w:rPr>
                <w:rFonts w:ascii="仿宋_GB2312" w:hAnsi="仿宋_GB2312" w:eastAsia="仿宋_GB2312"/>
                <w:b w:val="0"/>
                <w:color w:val="000000"/>
                <w:sz w:val="32"/>
              </w:rPr>
              <w:t>0.34</w:t>
            </w:r>
          </w:p>
        </w:tc>
        <w:tc>
          <w:tcPr>
            <w:tcW w:type="dxa" w:w="2041"/>
          </w:tcPr>
          <w:p>
            <w:pPr>
              <w:spacing w:lineRule="exact" w:line="600"/>
              <w:jc w:val="center"/>
            </w:pPr>
            <w:r/>
            <w:r>
              <w:rPr>
                <w:rFonts w:ascii="仿宋_GB2312" w:hAnsi="仿宋_GB2312" w:eastAsia="仿宋_GB2312"/>
                <w:b w:val="0"/>
                <w:color w:val="000000"/>
                <w:sz w:val="32"/>
              </w:rPr>
              <w:t>0.57</w:t>
            </w:r>
          </w:p>
        </w:tc>
      </w:tr>
      <w:tr>
        <w:tc>
          <w:tcPr>
            <w:tcW w:type="dxa" w:w="2835"/>
          </w:tcPr>
          <w:p>
            <w:pPr>
              <w:spacing w:lineRule="exact" w:line="600"/>
              <w:jc w:val="center"/>
            </w:pPr>
            <w:r/>
            <w:r>
              <w:rPr>
                <w:rFonts w:ascii="仿宋_GB2312" w:hAnsi="仿宋_GB2312" w:eastAsia="仿宋_GB2312"/>
                <w:b w:val="0"/>
                <w:color w:val="000000"/>
                <w:sz w:val="32"/>
              </w:rPr>
              <w:t>资产总额（亿元）</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8.18</w:t>
            </w:r>
          </w:p>
        </w:tc>
      </w:tr>
      <w:tr>
        <w:tc>
          <w:tcPr>
            <w:tcW w:type="dxa" w:w="2835"/>
          </w:tcPr>
          <w:p>
            <w:pPr>
              <w:spacing w:lineRule="exact" w:line="600"/>
              <w:jc w:val="center"/>
            </w:pPr>
            <w:r/>
            <w:r>
              <w:rPr>
                <w:rFonts w:ascii="仿宋_GB2312" w:hAnsi="仿宋_GB2312" w:eastAsia="仿宋_GB2312"/>
                <w:b w:val="0"/>
                <w:color w:val="000000"/>
                <w:sz w:val="32"/>
              </w:rPr>
              <w:t>负债总额（亿元）</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3.14</w:t>
            </w:r>
          </w:p>
        </w:tc>
      </w:tr>
      <w:tr>
        <w:tc>
          <w:tcPr>
            <w:tcW w:type="dxa" w:w="2835"/>
          </w:tcPr>
          <w:p>
            <w:pPr>
              <w:spacing w:lineRule="exact" w:line="600"/>
              <w:jc w:val="center"/>
            </w:pPr>
            <w:r/>
            <w:r>
              <w:rPr>
                <w:rFonts w:ascii="仿宋_GB2312" w:hAnsi="仿宋_GB2312" w:eastAsia="仿宋_GB2312"/>
                <w:b w:val="0"/>
                <w:color w:val="000000"/>
                <w:sz w:val="32"/>
              </w:rPr>
              <w:t>净资产（亿元）</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5.05</w:t>
            </w:r>
          </w:p>
        </w:tc>
      </w:tr>
      <w:tr>
        <w:tc>
          <w:tcPr>
            <w:tcW w:type="dxa" w:w="2835"/>
          </w:tcPr>
          <w:p>
            <w:pPr>
              <w:spacing w:lineRule="exact" w:line="600"/>
              <w:jc w:val="center"/>
            </w:pPr>
            <w:r/>
            <w:r>
              <w:rPr>
                <w:rFonts w:ascii="仿宋_GB2312" w:hAnsi="仿宋_GB2312" w:eastAsia="仿宋_GB2312"/>
                <w:b w:val="0"/>
                <w:color w:val="000000"/>
                <w:sz w:val="32"/>
              </w:rPr>
              <w:t>资产负债率（%）</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约38.4（3.14/8.18）</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据公开数据，公司2022—2024年营业收入由3.18亿元增至4.10亿元（三年复合增长约13.5%）；净利润在0.34亿—0.57亿元区间波动（2023年略降、2024年回升至0.57亿元，同比显著增长），体现半导体激光器业务盈利能力稳健且具向上弹性。2024年增资投前估值达16.6亿元，对应市净率约3.3倍（16.6/5.05），反映市场对其技术壁垒的认可。需注意净利润波动与半导体周期及产品结构相关。</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据挂牌公告，截至2024年12月31日，公司资产总额8.18亿元、负债总额3.14亿元、净资产5.05亿元；资产以半导体激光器产线设备（济南、潍坊双基地）、存货、应收账款及知识产权为主，资产质量总体良好，负债水平适中。</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2024年末资产负债率约38.4%（3.14/8.18），负债水平较低，偿债压力小。公司含山东省财金、潍坊投资、深创投等多方国有及创投资本，银行授信与融资能力较强，财务结构稳健。</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经营活动现金流净额未完整公开披露（新三板摘牌后审计年报未公开）。作为IDM制造型企业，现金流受收付款周期与资本开支影响，具体数据缺失。</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已上市激光芯片企业（如长光华芯、炬光科技等）相比，华光光电营收规模（4.1亿元）处于第二梯队，但背靠浪潮集团与山东省国资委，在国有资源协同与省内半导体产业链中具独特地位。其半导体激光器全链条自主能力在国内屈指可数，技术壁垒高于单纯设备组装企业。</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国有控股的非上市股份有限公司，控股股东山东浪潮光电科技有限公司（浪潮集团旗下），实际控制人山东省国资委。公司治理纳入浪潮集团国资管控体系，设董事会、党委会，党委书记、董事长吴德华。作为国有控股企业，治理规范、党建与"三重一大"决策机制健全。</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吴德华任公司党委书记、董事长，带领企业在半导体激光器领域持续突破。核心管理团队兼具国资管控经验与光电子产业专业能力，主导公司科创板申报、增资扩股与IPO重启等关键资本运作。</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公司作为浪潮集团旗下国有控股企业，建立符合国资监管要求的内部控制和合规管理体系，通过质量管理体系认证，研发与质量管控规范。党建融入公司治理，组织与内控水平在国有科技型企业中较为规范。</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2025年参保人数399人（济南总部口径），在半导体激光器IDM企业中属精干型研发制造团队。公司建有涵盖外延、芯片、器件、模组的专业化研发体系，技术人才储备在省内光电子领域突出；依托浪潮集团与山东省集成电路产业协会平台汇聚产业资源。</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国资与集团背书：山东省国资委实际控制、浪潮集团旗下，资源与信用优势突出。二是全产业链自主：具备半导体激光器"外延片—芯片—器件—模组"全链条研发制造能力，国内少数IDM企业之一。三是市场地位：中小功率半导体激光元器件产销量国内连续多年领先。四是技术积累：二十余年技术积淀，覆盖紫光到近红外多波长、多封装形态产品体系。五是资本运作潜力：2024年投前估值16.6亿元，重启IPO有望进一步提升资本实力。六是产业协同：依托浪潮集团与山东集成电路产业协会，上下游协同空间大。</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IPO不确定性风险：公司2024年6月曾撤回科创板申请，现重启IPO，审核节奏与结果存在不确定性，影响资本规划。二是半导体周期风险：半导体激光器受下游消费电子、通信、医疗等景气波动影响，净利润已现波动（2023年下滑）。三是客户集中与回款风险：下游设备商集中度及账期需关注。四是技术迭代风险：高功率、VCSEL、超快激光等技术快速演进，需持续研发投入。五是国资监管合规风险：国有控股企业须满足国资监管与评估备案要求（如增资挂牌底价26.5元/股）。应对措施：稳步推进IPO、拓展高毛利应用场景（医疗美容、传感）、强化研发与产学研合作。</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可探讨：一是股权融资协同，公司2025年9月已启动增资扩股（融资0.5—2.1亿元、投前估值16.6亿元），可关注其产业投资人机会；重启IPO亦带来投贷联动空间。二是供应链金融，针对半导体材料、封装材料采购提供应收账款保理、订单融资。三是融资租赁，支持济南、潍坊双基地产线设备升级与扩产。四是商业保理，盘活下游应收。公司国有控股、技术壁垒高、财务结构稳健（资产负债率约38%），适合开展产业金融与国资背景基金合作，授信前需核实招股书/评估数据及还款来源。</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来看，山东华光光电子股份有限公司是济南高新区高端激光装备集群中稀缺的半导体激光器核心零部件IDM企业，国有控股（山东省国资委）背景、全链条自主能力与中小功率市场领先地位构筑深厚护城河，但规模中等、净利润波动且IPO存在不确定性。未来应聚焦：高毛利应用场景（医疗美容、传感、光刻）拓展、研发强度提升与高端产品突破、稳步推进重启IPO。挑战在于半导体周期与审核节奏。建议借助国资基金协同、产业金融与集群"链主"联动实现跨越式发展，并提升财务披露透明度。</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数据来源于：国家企业信用信息公示系统、天眼查（山东华光光电子股份有限公司工商、股权、新三板及科创板申报信息）、山东华光光电子股份有限公司官网（hggd.cn）、山东产权交易中心增资挂牌公告（2025-09）、泰山财经公开报道（2025-09-19、2025-12-16）、上海证券交易所A股基本信息表（华光光电，数据日期2026-08-11）等渠道，统计时点截至2025年公开信息。2022—2024年营业收入、净利润及2024年末资产/负债/净资产数据来源于山东产权交易中心增资挂牌公告及泰山财经报道（源自公司招股书/评估基准日财务数据），非上市审计年报口径，已在文中注明；其余经审计年报数据未完整公开，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