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济南高新区高端激光装备特色产业集群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济南金威刻激光科技股份有限公司企业分析报告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济南金威刻激光科技股份有限公司官网（gweike.com/wklaser.com）、钉州日报《产业观察：全球激光头部厂商图谱》（2026）、河北采购指南及公开工商信息等渠道，统计时点截至2025年公开信息。济南金威刻激光科技股份有限公司为非上市股份有限公司，经审计合并财务报表未公开披露；文中"营收已超10亿元""近年平均增速不低于30%""外贸占比70%以上"等为公开媒体报道口径，非经审计数据，已注明。）</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济南金威刻激光科技股份有限公司（以下简称"金威刻激光"或"Gweike"）成立于2004年7月8日，法定代表人为蒋习锋，曾用名"济南金威刻科技发展有限公司"，统一社会信用代码为913701007648115755，注册地址位于山东省济南市高新区孙村工业区春晖路与科嘉路向西800米。公司类型为其他股份有限公司（非上市），所属行业为批发业（机械设备、五金产品及电子产品批发），登记机关为济南高新技术产业开发区管委会市场监管局，登记状态为存续。公司人员规模500—999人，2025年参保人数593人，注册资本5,000万元（年报认缴合计约6,310.606万元，含后续增资实缴），是深耕激光领域20余年的国家级高新技术企业。</w:t>
      </w:r>
    </w:p>
    <w:p>
      <w:pPr>
        <w:spacing w:lineRule="exact" w:line="600" w:before="0" w:after="0"/>
        <w:ind w:firstLine="420"/>
        <w:jc w:val="both"/>
      </w:pPr>
      <w:r>
        <w:rPr>
          <w:rFonts w:ascii="仿宋_GB2312" w:hAnsi="仿宋_GB2312" w:eastAsia="仿宋_GB2312"/>
          <w:b w:val="0"/>
          <w:color w:val="000000"/>
          <w:sz w:val="32"/>
        </w:rPr>
        <w:t>股权结构方面，公司实际控制人为创始人蒋习锋，直接持股约71.31%（认缴4,500万元），并通过济南德睿慕管理咨询合伙企业（有限合伙，员工持股平台）持股约7.92%，合计控股约79%。国有及产业基金股东包括：山东动能嘉智产业投资基金合伙企业（有限合伙，隶属山东省新动能基金体系）持股约5.28%、山东高投毅达新动能创业投资合伙企业（山东省新动能基金与江苏高投合作）等；此外还有济南高新财金投资有限公司等地方国资参股。公司具有民营控股、国资基金参股的混合所有制特征。</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对外投资了6家企业，包括济南超锋电子有限公司、济南博镭机械设备有限公司、山东金威刻激光科技有限公司、金威刻（广东）激光智能装备有限公司（100%控股）等，并通过齐河县金威刻数控科技有限公司等布局区域产能。内部设研发研究院、生产、销售、服务、供应链等职能体系，形成"总部+多生产基地+海外渠道"的组织架构。据公开信息，公司拥有四大生产基地，总面积超20万平方米。</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为2004年7月成立的济南金威刻科技发展有限公司，专注激光设备研发制造20余年。历经持续技术积累与产能扩张，公司从单一激光雕刻设备厂商发展为激光智能应用设备研发制造商，2023年完成A轮融资，引入山东动能嘉智等国资及产业基金。期间先后获评国家级"专精特新"小巨人企业、国家级高新技术企业，并搭建多个省市级研发平台，参与3项国家标准制定，成为激光领域全国前五的企业之一。</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激光智能应用设备研发制造商，是济南高新区高端激光装备特色产业集群的重点企业。主营业务为激光加工智能装备的研发、生产及销售，产品涵盖激光雕刻机系列、激光切割机系列、激光打标机系列、木工机系列四大系列，核心技术覆盖高功率光纤切割、整线协同控制、三维五轴切割等领域，广泛应用于广告、钣金加工、工艺品、木工、服装服饰、建筑建材、汽车配件等行业。</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激光智能装备为核心，按产品分为激光雕刻机、激光切割机、激光打标机、木工机四大系列，并延伸至自动化产线与三维五轴切割设备。据公开报道，公司营收已超10亿元，近年平均增速不低于30%（媒体报道口径，非审计）；外贸收入占比高达70%以上，业务结构呈"出口主导+多品类"特征。具体收入构成比例未公开披露。</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包括：激光雕刻机系列、激光切割机系列（覆盖1,000W—15,000W全功率段，含2代超高速激光切板机H系列、SA系列双轨超宽幅面激光切割机）、激光打标机系列、木工机系列，以及六合一多功能激光智能雕刻机（首次实现工业级光纤激光与CO₂激光在小型设备上的协同控制）、三维五轴激光切割机器人、激光落料切割生产线等。核心产品适配广告、钣金、工艺品、木工、汽车配件等多场景。</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产品远销全球180多个国家和地区，服务全球用户超10万户，客户以广告标识、工艺品、中小型钣金加工、木工加工、服装服饰、汽车配件等领域的中小企业及外贸出口型加工企业为主。前五大客户名称未公开披露，但凭借稳定的产品品质与全球化服务网络，客户黏性较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上游采购主要包括光学元件（激光器、激光头，联合IPG、锐科等行业头部品牌）、数控系统、机械结构件、钢材及电气元器件等。公司通过自主研发光学系统与高功率切割头降低对外依赖，并与头部供应商建立稳定合作，保障核心部件供应。</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四大生产基地，总面积超20万平方米，年生产能力超2万台。研发方面，建有5个全球研发中心（另一报道为162人研发团队、7个省市级研发平台），累计拥有300余项国家专利及4项国际设计奖项（天眼查披露专利信息412条、著作权21条），参与3项国家标准制定，年研发投入占销售额约5%。公司获评国家级"专精特新"小巨人企业、国家级高新技术企业，品牌价值达31.21亿元（公开报道）。</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建立覆盖中国、辐射全球的销售体系，产品远销180多个国家和地区。国内设有200余家服务网点，承诺半小时快速响应、48小时上门服务，核心部件质保2年、整机质保1年，提供终身运维服务，形成"渠道+服务"的双网络优势。</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公开媒体报道，公司营收已超10亿元、近年平均增速不低于30%、外贸占比70%以上、年产能超2万台、设备在全球180多个国家和地区稳定运行，综合实力位居激光领域全国前五（媒体报道口径，非审计）。具体产量、销量及细分市场份额缺少经审计公开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0" w:after="0"/>
        <w:ind w:firstLine="420"/>
        <w:jc w:val="both"/>
      </w:pPr>
      <w:r>
        <w:rPr>
          <w:rFonts w:ascii="仿宋_GB2312" w:hAnsi="仿宋_GB2312" w:eastAsia="仿宋_GB2312"/>
          <w:b w:val="0"/>
          <w:color w:val="000000"/>
          <w:sz w:val="32"/>
        </w:rPr>
        <w:t>济南金威刻激光科技股份有限公司为非上市股份有限公司，经审计合并财务报表未公开披露，近三年主要会计数据无法通过公开渠道获取。本节基于工商及公开报道作定性分析；"营收超10亿元""增速30%+"为媒体报道口径，非审计数据。</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835"/>
          </w:tcPr>
          <w:p>
            <w:pPr>
              <w:spacing w:lineRule="exact" w:line="600"/>
              <w:jc w:val="center"/>
            </w:pPr>
            <w:r/>
            <w:r>
              <w:rPr>
                <w:rFonts w:ascii="黑体" w:hAnsi="黑体" w:eastAsia="黑体"/>
                <w:b/>
                <w:color w:val="000000"/>
                <w:sz w:val="32"/>
              </w:rPr>
              <w:t>指标</w:t>
            </w:r>
          </w:p>
        </w:tc>
        <w:tc>
          <w:tcPr>
            <w:tcW w:type="dxa" w:w="2041"/>
          </w:tcPr>
          <w:p>
            <w:pPr>
              <w:spacing w:lineRule="exact" w:line="600"/>
              <w:jc w:val="center"/>
            </w:pPr>
            <w:r/>
            <w:r>
              <w:rPr>
                <w:rFonts w:ascii="黑体" w:hAnsi="黑体" w:eastAsia="黑体"/>
                <w:b/>
                <w:color w:val="000000"/>
                <w:sz w:val="32"/>
              </w:rPr>
              <w:t>2022年</w:t>
            </w:r>
          </w:p>
        </w:tc>
        <w:tc>
          <w:tcPr>
            <w:tcW w:type="dxa" w:w="2041"/>
          </w:tcPr>
          <w:p>
            <w:pPr>
              <w:spacing w:lineRule="exact" w:line="600"/>
              <w:jc w:val="center"/>
            </w:pPr>
            <w:r/>
            <w:r>
              <w:rPr>
                <w:rFonts w:ascii="黑体" w:hAnsi="黑体" w:eastAsia="黑体"/>
                <w:b/>
                <w:color w:val="000000"/>
                <w:sz w:val="32"/>
              </w:rPr>
              <w:t>2023年</w:t>
            </w:r>
          </w:p>
        </w:tc>
        <w:tc>
          <w:tcPr>
            <w:tcW w:type="dxa" w:w="2041"/>
          </w:tcPr>
          <w:p>
            <w:pPr>
              <w:spacing w:lineRule="exact" w:line="600"/>
              <w:jc w:val="center"/>
            </w:pPr>
            <w:r/>
            <w:r>
              <w:rPr>
                <w:rFonts w:ascii="黑体" w:hAnsi="黑体" w:eastAsia="黑体"/>
                <w:b/>
                <w:color w:val="000000"/>
                <w:sz w:val="32"/>
              </w:rPr>
              <w:t>2024年</w:t>
            </w:r>
          </w:p>
        </w:tc>
      </w:tr>
      <w:tr>
        <w:tc>
          <w:tcPr>
            <w:tcW w:type="dxa" w:w="2835"/>
          </w:tcPr>
          <w:p>
            <w:pPr>
              <w:spacing w:lineRule="exact" w:line="600"/>
              <w:jc w:val="center"/>
            </w:pPr>
            <w:r/>
            <w:r>
              <w:rPr>
                <w:rFonts w:ascii="仿宋_GB2312" w:hAnsi="仿宋_GB2312" w:eastAsia="仿宋_GB2312"/>
                <w:b w:val="0"/>
                <w:color w:val="000000"/>
                <w:sz w:val="32"/>
              </w:rPr>
              <w:t>营业收入（亿元）</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未公开披露（媒体报道年营收超10亿，非审计）</w:t>
            </w:r>
          </w:p>
        </w:tc>
      </w:tr>
      <w:tr>
        <w:tc>
          <w:tcPr>
            <w:tcW w:type="dxa" w:w="2835"/>
          </w:tcPr>
          <w:p>
            <w:pPr>
              <w:spacing w:lineRule="exact" w:line="600"/>
              <w:jc w:val="center"/>
            </w:pPr>
            <w:r/>
            <w:r>
              <w:rPr>
                <w:rFonts w:ascii="仿宋_GB2312" w:hAnsi="仿宋_GB2312" w:eastAsia="仿宋_GB2312"/>
                <w:b w:val="0"/>
                <w:color w:val="000000"/>
                <w:sz w:val="32"/>
              </w:rPr>
              <w:t>净利润（亿元）</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r>
      <w:tr>
        <w:tc>
          <w:tcPr>
            <w:tcW w:type="dxa" w:w="2835"/>
          </w:tcPr>
          <w:p>
            <w:pPr>
              <w:spacing w:lineRule="exact" w:line="600"/>
              <w:jc w:val="center"/>
            </w:pPr>
            <w:r/>
            <w:r>
              <w:rPr>
                <w:rFonts w:ascii="仿宋_GB2312" w:hAnsi="仿宋_GB2312" w:eastAsia="仿宋_GB2312"/>
                <w:b w:val="0"/>
                <w:color w:val="000000"/>
                <w:sz w:val="32"/>
              </w:rPr>
              <w:t>毛利率</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r>
      <w:tr>
        <w:tc>
          <w:tcPr>
            <w:tcW w:type="dxa" w:w="2835"/>
          </w:tcPr>
          <w:p>
            <w:pPr>
              <w:spacing w:lineRule="exact" w:line="600"/>
              <w:jc w:val="center"/>
            </w:pPr>
            <w:r/>
            <w:r>
              <w:rPr>
                <w:rFonts w:ascii="仿宋_GB2312" w:hAnsi="仿宋_GB2312" w:eastAsia="仿宋_GB2312"/>
                <w:b w:val="0"/>
                <w:color w:val="000000"/>
                <w:sz w:val="32"/>
              </w:rPr>
              <w:t>资产负债率</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r>
      <w:tr>
        <w:tc>
          <w:tcPr>
            <w:tcW w:type="dxa" w:w="2835"/>
          </w:tcPr>
          <w:p>
            <w:pPr>
              <w:spacing w:lineRule="exact" w:line="600"/>
              <w:jc w:val="center"/>
            </w:pPr>
            <w:r/>
            <w:r>
              <w:rPr>
                <w:rFonts w:ascii="仿宋_GB2312" w:hAnsi="仿宋_GB2312" w:eastAsia="仿宋_GB2312"/>
                <w:b w:val="0"/>
                <w:color w:val="000000"/>
                <w:sz w:val="32"/>
              </w:rPr>
              <w:t>经营活动现金流（亿元）</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c>
          <w:tcPr>
            <w:tcW w:type="dxa" w:w="2041"/>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缺乏公开经审计财务数据，无法计算盈利指标。据媒体报道公司营收超10亿元、年均增速不低于30%，结合其外贸占比高、品牌价值31.21亿元及专精特新背书，盈利能力应处于行业中上水平，但具体盈利规模未公开。</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公司注册资本5,000万元（实缴），据天眼查实缴资本5,000万元；资产以四大生产基地（超20万㎡）、年产2万台的产线设备、研发中心及知识产权为主，资产规模较大。具体资产结构未经审计公开。</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资产负债率及有息债务规模未公开披露。公司含山东动能嘉智、济南高新财金等国资基金参股，融资结构应较优；偿债情况缺少公开数据。</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经营活动现金流净额未公开披露。制造业现金流受收付款周期与扩产投资影响，具体数据缺失。</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可比经审计财务数据缺失。公司与邦德激光同处济南高新区激光装备集群，定位差异化：金威刻以外贸出口（占比70%+）、中小功率与多品类（雕刻/切割/打标/木工）见长，年产能超2万台；邦德聚焦高功率切割且销量全球第一。两者协同构成济南激光装备集群的双核。</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民营控股、国资基金参股的非上市股份有限公司，设法定代表人（蒋习锋）及管理层；2023年A轮融资后引入山东动能嘉智、高投毅达、济南高新财金等国有及产业基金股东，治理具混合所有制特征，结构相对规范。</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蒋习锋任公司法定代表人，为创始人及实际控制人，引领企业深耕激光领域20余年。核心管理团队兼具产业经验与资本运作意识，推动公司完成A轮融资并获国家级专精特新"小巨人"认定。</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公司通过ISO等质量体系认证，建有5个全球研发中心与7个省市级研发平台，参与3项国家标准制定，研发与质量管控体系完善。作为非上市企业，内控规范性正随国资基金入股与资本运作推进而提升。</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参保人数593人（2025年），研发团队规模公开报道存在差异（162人/200余人），年研发投入占销售额约5%；拥有国家级高新技术企业研发体系与专利储备（412条专利、21条著作权），技术与技工人才在激光装备领域具备竞争力。</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技术积淀：22年激光技术积淀，300余项国家专利（含19项发明专利）、4项国际设计奖，参与3项国标，核心覆盖高功率光纤切割、三维五轴、六合一多功能协同控制。二是全球化能力：外贸占比70%以上、覆盖180+国家、超10万用户、品牌价值31.21亿元，中小功率出海标杆。三是规模制造：四大基地超20万㎡、年产能超2万台。四是资质背书：国家级专精特新"小巨人"、国家级高新技术企业。五是混合所有制：国资基金（动能嘉智、高新财金）参股，信用与资源加持。六是服务网络：国内200+服务网点、48小时上门。</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国际贸易摩擦风险：外贸占比高达70%以上，受地缘政治、关税及出口管制影响显著。二是诉讼与合规风险：据天眼查，公司存在天眼风险信息235条、裁判文书5条、涉诉关系51条、开庭公告51条，需关注应收账款与合同履约风险。三是行业竞争风险：激光装备同质化竞争与价格战压缩利润。四是技术迭代风险：高功率、超快、智能化演进需持续投入。五是财务透明度风险：非上市、经审计财务未公开，尽调难度较高。应对措施：拓展国内市场均衡外贸依赖、强化合规与应收账款管理、深耕高附加值新品类。</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可探讨：一是供应链金融，针对光学元件、钢材等采购及设备销售提供应收账款保理、订单融资；二是融资租赁，支持四大生产基地智能化产线及高端装备升级；三是商业保理，盘活下游外贸应收；四是小额贷款，满足上游中小配套企业周转。公司已获国资基金参股、专精特新"小巨人"背书，信用较优，适合产业金融与投贷联动合作，授信前需尽职调查，重点核实真实产销、外贸订单与还款来源。</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来看，济南金威刻激光科技股份有限公司是济南高新区高端激光装备集群的重点企业，以22年技术积淀、外贸占比70%以上的全球化能力、年产能超2万台及国家级专精特新"小巨人"资质构筑差异化优势，但规模小于邦德激光、财务透明度低、外贸依赖度高风险敞口较大。未来应聚焦：国内市场拓展以平衡外贸依赖、高附加值新品类（三维五轴、自动化产线）放量、合规与应收账款管理。挑战在于贸易摩擦与行业竞争。建议借助国资基金协同与产业金融实现高质量发展。</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数据来源于：国家企业信用信息公示系统、天眼查（济南金威刻激光科技股份有限公司工商、股权穿透、年报及风险信息）、济南金威刻激光科技股份有限公司官网（gweike.com、wklaser.com）、钉州日报《产业观察：全球激光头部厂商图谱、供应链格局与科学选型避坑体系》（2026）、河北激光切板机采购指南（gweike.com/hebeibcqg/384）及公开工商信息等渠道，统计时点截至2025年公开信息。经审计财务数据未公开披露；"营收超10亿元""增速30%+"等为公开媒体报道口径，已注明非审计。</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