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济南高新区高端软件特色产业集群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山东中创软件商用中间件股份有限公司企业分析报告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（本报告数据来源于上交所公告、公司招股说明书、2024年年度报告、中国证券报/中证网、新浪财经、东方财富等公开渠道，统计时点截至2024年年报。财务数据为公开披露口径，单位已折算为亿元/万元。）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中创软件商用中间件股份有限公司（证券简称：中创股份，代码：688695.SH）成立于2002年12月27日，注册地址为山东省济南市历下区千佛山东路41-1号，于2024年3月13日在上海证券交易所科创板上市。公司统一社会信用代码见招股书披露，法定代表人为景新海，注册资本（发行后）约8500万元，总股本8500万股（2024年末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股股东为山东中创软件工程股份有限公司（2024年末持股2145万股，占比25.22%）。公司实际控制人为景新海、程建平二人，为一致行动人，通过直接或间接方式合计控制公司较高比例股权。公司主营中间件软件销售、中间件定制化开发和中间件运维服务，是国内领先的基础软件中间件产品与服务提供商，专注于党政、军工、金融、能源、交通等国民经济重点行业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科创板上市公司，设有股东大会、董事会、监事会及管理层，治理规范。截至2024年末，公司员工总数为379人，人均创收51.25万元、人均创利10.22万元、人均薪酬17.18万元。公司业务以中间件产品研发与销售为核心，下设研发、销售、定制化开发、运维服务等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2002年成立，长期深耕基础软件中间件领域，掌握核心技术并拥有主要产品全部核心源代码的自主知识产权，取得144项发明专利及194项软件著作权。2024年3月登陆科创板，发行价22.43元/股，募资净额约3.99亿元。公司系国家重点支持的国产中间件龙头，通过CMMI ML5级评审、JEE6国际认证，是OW2开源中间件联盟发起单位、OMG国际组织平台会员。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"国产基础软件中间件龙头"，主营中间件软件销售（占收入76.01%）、中间件定制化开发（22.23%）、中间件运维服务（1.75%）。2021年公司在国产基础中间件领域市场占有率达15%，在国内中间件厂商中居第二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高度集中于中间件软件销售（2024年占比76.01%），其次为定制化开发（22.23%）与运维服务（1.75%）。客户行业覆盖党政、军工、金融、能源、交通等，境内收入占比100%。前五大客户合计销售4819.64万元，占24.82%，客户集中度适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核心产品为自主可控的中间件系列：应用服务器中间件、负载均衡中间件、消息中间件等全系列基础中间件，支撑信创全场景替代；并提供中间件定制化开发与运维服务。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客户以党政军、能源、金融、交通等关键信息基础设施行业为主，具备较强黏性与高门槛；前五大供应商采购占比66.19%，上游集中度高（主要为外购软硬件及服务）。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公司掌握核心源代码，外购产品及服务占采购总额约66%（前五名供应商），用于补全解决方案；随着自研能力增强，外购依赖有所下降。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核心资源为144项发明专利、194项软件著作权及全部核心源代码自主知识产权，CMMI5级、JEE6国际认证构成资质壁垒；无重资产产能概念，以研发与授权许可为主。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销售以直销+渠道结合，面向行业大客户；受益于信创推进，由应用服务器中间件向全系列基础中间件全场景替代延伸。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2024年营收1.94亿元（同比+7.96%），毛利率83.72%。据计世资讯，2021年国产基础中间件市占率15%、国内第二。公司三年营收复合增长率17.36%（垂直应用软件行业82家中排名第11）。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1.37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0.39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91.84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83.72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11.34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12.88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5.66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经营现金流净额（万元）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-272.63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1014.59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-1679.81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1.05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0.49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注：2022年毛利率未在本次检索中直接取得，以"—"标注；2023年毛利率按2024年毛利率83.72%同比下降8.12个百分点倒算约91.84%；2024年经营现金流为负主要系回款周期与备货影响。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毛利率长期维持高位（83%以上），体现基础软件高附加值属性；但2024年归母净利润同比下降41.92%、扣非降43.36%，主要因营收增速放缓、期间费用率升至60.96%（研发费用同比+34.61%）、以及2023年高基数。净利率19.93%，较2023年下降17.12个百分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2024年末资产合计8.60亿元，负债仅0.49亿元，资产负债率5.66%，速动比率17.01、流动比率17.13，资产质量极佳、以货币资金及理财为主；应收账款周转率0.83次，存货周转率11.34次。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负债率极低（5.66%），几乎无有息负债，偿债能力极强；IPO募资后现金充裕（现金比率1090.34%）。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2024年经营现金流净额-1679.81万元（上年为+1014.59万元），净利润现金含量-43.39%，受大客户回款节奏与薪酬支出增加影响；筹资活动现金流净额3.75亿元（IPO募资）。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与同行业（垂直应用软件）比，公司毛利率（83.72%）显著高于行业平均，但规模偏小、2024年净利增速承压；ROE 5.51%偏低，与上市后净资产扩大及利润下滑有关。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科创板上市公司，三会一层健全，控股股东山东中创软件工程股份，实控人景新海、程建平。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景新海为创始人/董事长，具备数十年基础软件研发与产业化经验；核心团队稳定。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上市公司内控规范，通过CMMI5级认证；研发费用加计扣除、审计由容诚/大华等机构执行。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2024年末员工379人，研发人员占比高，人均薪酬17.18万元，体现知识密集型特征。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自主可控：掌握全部核心源代码，144项发明专利+194项软著；二是高毛利基础软件壁垒：中间件技术门槛高、客户黏性强；三是信创红利：党政军金融能源交通国产替代主力供应商；四是资质与生态：CMMI5、JEE6认证，OW2/OMG国际会员，国产基础中间件市占率第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信创节奏波动、国际厂商（Oracle/IBM）竞争；经营风险：客户行业集中（党政军）、大客户回款致现金流波动；2024年利润大幅下滑显示成长持续性压力。财务风险：经营现金流阶段性为负。合规风险：软件著作权与开源协议合规。应对措施：拓展教育/电信新市场、全系列中间件替代、控费提效、强化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金充裕、负债率极低，直接融资需求弱；协同点在于：一是产业链投资——可对接山东投资对信创上下游（数据库、操作系统、应用软件）的布局；二是并购/产业基金——若有外延扩张可探讨；三是对下游客户提供供应链金融（如政企客户项目垫资的保理）。建议以"产业生态协同"而非信贷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中创股份是国产基础软件中间件稀缺标的，技术自主、毛利高、资产质量优，但2024年利润承压、规模偏小。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展望：受益信创全场景替代与行业拓展，营收有望稳健增长；需改善费用率与回款。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建议：山东投资可将其纳入信创产业生态重点企业，探索股权/基金层面协同；关注其费用管控与现金流改善进展。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本报告数据来源于：上交所公司公告/招股说明书（688695）、2024年年度报告、中国证券报·中证网、新浪财经、东方财富、同花顺等公开披露信息。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