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济南高新区高端软件特色产业集群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山东国子软件股份有限公司企业分析报告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（本报告数据来源于北京证券交易所公告、2024年年度报告、中国证券报/中证网、新浪财经、东方财富等公开渠道，统计时点截至2024年年报。财务数据为公开披露口径，单位已折算为亿元/万元。）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子软件股份有限公司（证券简称：国子软件，代码：872953.BJ）成立于2004年3月19日，统一社会信用代码913701007600280302，注册地址为山东省济南市高新区春晖路2966号济南高新区战略性新兴产业基地1号楼，于2023年8月23日在北京证券交易所上市。控股股东、实际控制人为韩承志，一致行动人为济南国子学投资有限公司。总股本9190.49万股，注册资本9190.49万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公司主营资产管理数字化解决方案，属软件和信息技术服务业（软件开发），致力于为教育、政务、军工等提供资产管理数字化产品与服务。持续督导保荐机构为中泰证券，审计机构为大华会计师事务所。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北交所上市公司，三会一层健全。2024年员工规模以研发与实施为主，研发投入2581.56万元（占营收9.64%）。公司下设产品研发、销售实施、运维服务体系。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公司2004年成立，长期聚焦资产管理软件；2023年8月登陆北交所。2024年实施每10股转4股派1.8元的权益分派。持续投入研发，形成资产管理数字化全栈能力。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定位为"资产管理数字化解决方案提供商"，主营资产管理软件产品研发、销售及服务，覆盖资产全生命周期管理（采购、入库、使用、调剂、处置等），客户以教育（高校/职校）、行政事业单位、军工等为主。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收入来自资产管理软件产品许可、定制开发与运维服务，客户行业以教育、政务、军工为主。具体分产品占比未在本检索中细化披露。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核心产品为资产管理数字化平台（含固定资产、物资、低值易耗品等管理模块），并提供物联网+资产管理、RFID盘点等增值方案。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客户以高校、职业院校、行政事业单位及军工单位为主，具备较强黏性；政务与教育客户回款受预算周期影响。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软件企业，轻资产，核心资产为软件著作权与行业know-how；持有相关软件企业资质。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以行业直销+渠道为主，覆盖全国教育/政务市场。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2024年营收2.68亿元（同比+12.08%），在同业中营收排名第69；毛利率62.39%，处行业中上。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2.01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2.39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2.68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0.56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扣非净利润（亿元）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0.57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67.91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60.61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62.39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11.62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13.28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经营现金流净额（万元）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-2764.43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1260.49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0.67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注：2022年资产负债率与经营现金流未在本检索中直接取得，以"—"标注；2023年资产负债率按2024年13.28%同比+1.66个百分点倒算约11.62%。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2024年营收2.68亿元（+12.08%）、归母净利润6145.48万元（+10.04%）、扣非5700.01万元（+7.17%），保持稳健增长；毛利率62.39%（同比+1.78pct），净利率22.94%。研发投入2581.56万元（+16.82%），占比9.64%，体现持续投入。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2024年末资产总计6.30亿元，应收账款及票据较上年增26.83%（占资产比重上升7.31pct），货币资金减18.36%；存货2687.89万元（跌价准备3.02%）。资产以经营性资产为主。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资产负债率13.28%，负债以轻量应付职工薪酬、应付账款、合同负债为主，无偿息重负，偿债能力充足。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2024年经营现金流净额1260.49万元（上年-2764.43万元），同比大幅转正，回款改善；投资活动现金流-1002.97万元。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毛利率62.39%、ROE 11.38%，处软件同行中上；营收增速稳健但规模中等；研发费用率约10%，符合产品型软件企业特征。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北交所上市公司，实控人韩承志，治理结构规范，持续督导为中泰证券。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管理层稳定，内控由大华审计；前十大股东持股74.69%，股权相对集中。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研发人员为主，研发投入占比9.64%，人均效能稳健。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一是行业深耕：资产管理软件细分龙头，教育/政务/军工客户黏性强；二是产品化能力：标准化平台+定制，毛利超60%；三是自主可控：软件著作权丰富；四是稳健财务：低负债、经营现金流转正。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教育/政务预算波动、信创替代节奏；经营风险：客户行业集中、应收账款上升（占资产比提升）；财务风险：回款季节性。合规风险：政府采购与数据合规。应对措施：拓展军工/企业市场、强化应收管理、稳健分红（10转4派1.8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金流改善、负债率低，直接债权需求有限；协同点：一是产业基金股权协同（北交所专精特新）；二是对其教育/政务客户项目提供供应链保理；三是投贷联动支持市场拓展。建议以"生态客户金融服务+股权协同"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国子软件是资产管理数字化细分龙头，财务稳健、成长持续，具备北交所优质标的特征。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展望：受益数字政府与教育信息化，营收有望稳步增长；建议山东投资将其纳入高端软件集群服务名单。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建议：以股权协同与对下游客户的供应链金融结合，共享教育/政务数字化红利。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本报告数据来源于：北京证券交易所公司公告、2024年年度报告（872953）、中国证券报·中证网、新浪财经、东方财富等公开披露信息。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