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济宁市任城区工程机械智造特色产业集群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山东恒旺集团有限公司企业分析报告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恒旺集团有限公司成立于2016年3月11日（企业宣传称创立于2011年），法定代表人刘明涛，统一社会信用代码91370800MA3C7BD129，企业类型为有限责任公司（自然人投资或控股），注册资本10,000万元，注册地址位于山东省济宁北湖省级旅游度假区石桥工业园区，登记机关为济宁北湖省级旅游度假区市场监督管理局，经营状态为存续。参保人数约139人（天眼查，与宣传口径的员工规模存在统计差异）。</w:t>
      </w:r>
    </w:p>
    <w:p>
      <w:pPr>
        <w:spacing w:lineRule="exact" w:line="600" w:before="0" w:after="0"/>
        <w:ind w:firstLine="420"/>
        <w:jc w:val="both"/>
      </w:pPr>
      <w:r>
        <w:rPr>
          <w:rFonts w:ascii="仿宋_GB2312" w:hAnsi="仿宋_GB2312" w:eastAsia="仿宋_GB2312"/>
          <w:b w:val="0"/>
          <w:color w:val="000000"/>
          <w:sz w:val="32"/>
        </w:rPr>
        <w:t>股权结构：企业类型为自然人投资或控股，实际控制人为创始人团队（刘明涛等），属民营控股企业，无国有出资人。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旗下拥有多家子公司与研发中心（如"惠鑫"等专业化子公司），设技术部、生产部、采购部、销售部、售后服务部及国际贸易、电子商务、物流运输体系；2024年10月总投资10.1亿元的恒旺绿色智能制造生产基地在济宁运河经济开发区新材料产业园落成投产，组织向集团化、智能化升级。</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企业创立于2011年（工商登记2016年），历经十余年发展由小型机械厂成长为集研发制造、国际贸易、电子商务、网络服务、物流运输于一体的创新科技企业；2024年10月总投资10.1亿元的绿色智能制造生产基地投产，焊接、组装、涂装自动化率超70%、年产能提升约35%；参与制定《旋挖钻机能效等级标准》，旋喷打桩机技术通过省级科技成果鉴定达国际先进水平。</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注矿山与工程机械领域的创新科技企业，集研发、制造、销售于一体的工程机械服务商。主营业务为建筑工程用机械、矿山机械、地质勘查设备、农业机械、轨道交通工程机械及部件、液压动力机械及元件、特种设备等的研发制造与销售，以及机械设备租赁、货物/技术进出口。</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工程机械（挖掘机、推土机、钻探机械、光伏打桩机、装载机、压路机、叉车、平地机、履带运输车等40多品类）为核心，并向矿山机械、农业机械、地质勘查设备延伸，形成"工程机械+矿山+新能源施工"多元结构。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挖掘机（5吨微型至80/130吨级矿用大型）、推土机、旋挖/光伏打桩机、钻探机械、挖改铣挖头、装载机、压路机、叉车、平地机、履带运输车等40多品类；提供选型、施工与全生命周期售后（线下服务工程师24小时待命、1小时答复、24小时抵达）。</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国内服务超5,000家客户，覆盖30余个省市；产品出口180多个国家和地区，在东南亚、中东等形成稳定市场；为中铁、中交等大型企业长期合作伙伴，客户复购率达65%、老客户推荐新客户占比超30%，2023年客户满意度92%、钻机类99.2%。</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生产所需钢材、发动机、液压件、油缸等为主要采购对象；关键部件通过5,000次循环耐久试验与200小时连续负载测试，实行"来料—过程—成品"三级检测、关键焊缝100%探伤、液压系统100%压力测试。</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厂区占地面积30余万平方米，员工2,000余人（宣传口径）；2024年10月总投资10.1亿元绿色智能制造基地投产，部署数控激光切割、机器人焊接群、总装流水线及智能涂装线，焊接/组装/涂装自动化率超70%、年产能提升约35%、年产各类工程机械超15,000台；拥有特种设备制造许可；参与制定《旋挖钻机能效等级标准》，旋喷打桩机技术通过省级科技成果鉴定达国际先进水平。轮式挖掘机市场占有率连续三年行业前五，钻机类连续三年行业前三，旋挖打桩机市政工程领域占有率约18%。</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以国内经销商+直销大客户（中铁、中交等）+跨境电商/国际贸易结合；线上建立客户问题跟踪系统，线下服务网络广泛（24小时响应、上门巡检）；产品远销180多国，出口额连年倍增。</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资料显示，公司厂区30余万平、员工2,000余人、绿色智造基地年产能超15,000台；轮式挖掘机市占率连续三年行业前五、钻机类连续三年前三、旋挖打桩机市政领域约18%；累计交付设备超10万台（光伏打桩机打桩超100万根）。具体营收、利润未公开披露（非上市）。</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山东恒旺集团为非上市民营企业，近三年财务报表未公开披露；以下列公开宣传与产能信息，不作财务数据编造。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2016-03-11（宣传称2011年创立）</w:t>
            </w:r>
          </w:p>
        </w:tc>
      </w:tr>
      <w:tr>
        <w:tc>
          <w:tcPr>
            <w:tcW w:type="dxa" w:w="2551"/>
          </w:tcPr>
          <w:p>
            <w:pPr>
              <w:spacing w:lineRule="exact" w:line="600"/>
              <w:jc w:val="center"/>
            </w:pPr>
            <w:r/>
            <w:r>
              <w:rPr>
                <w:rFonts w:ascii="仿宋_GB2312" w:hAnsi="仿宋_GB2312" w:eastAsia="仿宋_GB2312"/>
                <w:b w:val="0"/>
                <w:color w:val="000000"/>
                <w:sz w:val="32"/>
              </w:rPr>
              <w:t>厂区/员工</w:t>
            </w:r>
          </w:p>
        </w:tc>
        <w:tc>
          <w:tcPr>
            <w:tcW w:type="dxa" w:w="6236"/>
          </w:tcPr>
          <w:p>
            <w:pPr>
              <w:spacing w:lineRule="exact" w:line="600"/>
              <w:jc w:val="center"/>
            </w:pPr>
            <w:r/>
            <w:r>
              <w:rPr>
                <w:rFonts w:ascii="仿宋_GB2312" w:hAnsi="仿宋_GB2312" w:eastAsia="仿宋_GB2312"/>
                <w:b w:val="0"/>
                <w:color w:val="000000"/>
                <w:sz w:val="32"/>
              </w:rPr>
              <w:t>30余万㎡ / 约2,000人</w:t>
            </w:r>
          </w:p>
        </w:tc>
      </w:tr>
      <w:tr>
        <w:tc>
          <w:tcPr>
            <w:tcW w:type="dxa" w:w="2551"/>
          </w:tcPr>
          <w:p>
            <w:pPr>
              <w:spacing w:lineRule="exact" w:line="600"/>
              <w:jc w:val="center"/>
            </w:pPr>
            <w:r/>
            <w:r>
              <w:rPr>
                <w:rFonts w:ascii="仿宋_GB2312" w:hAnsi="仿宋_GB2312" w:eastAsia="仿宋_GB2312"/>
                <w:b w:val="0"/>
                <w:color w:val="000000"/>
                <w:sz w:val="32"/>
              </w:rPr>
              <w:t>智造基地投资</w:t>
            </w:r>
          </w:p>
        </w:tc>
        <w:tc>
          <w:tcPr>
            <w:tcW w:type="dxa" w:w="6236"/>
          </w:tcPr>
          <w:p>
            <w:pPr>
              <w:spacing w:lineRule="exact" w:line="600"/>
              <w:jc w:val="center"/>
            </w:pPr>
            <w:r/>
            <w:r>
              <w:rPr>
                <w:rFonts w:ascii="仿宋_GB2312" w:hAnsi="仿宋_GB2312" w:eastAsia="仿宋_GB2312"/>
                <w:b w:val="0"/>
                <w:color w:val="000000"/>
                <w:sz w:val="32"/>
              </w:rPr>
              <w:t>10.1亿元（2024.10投产）</w:t>
            </w:r>
          </w:p>
        </w:tc>
      </w:tr>
      <w:tr>
        <w:tc>
          <w:tcPr>
            <w:tcW w:type="dxa" w:w="2551"/>
          </w:tcPr>
          <w:p>
            <w:pPr>
              <w:spacing w:lineRule="exact" w:line="600"/>
              <w:jc w:val="center"/>
            </w:pPr>
            <w:r/>
            <w:r>
              <w:rPr>
                <w:rFonts w:ascii="仿宋_GB2312" w:hAnsi="仿宋_GB2312" w:eastAsia="仿宋_GB2312"/>
                <w:b w:val="0"/>
                <w:color w:val="000000"/>
                <w:sz w:val="32"/>
              </w:rPr>
              <w:t>年产能</w:t>
            </w:r>
          </w:p>
        </w:tc>
        <w:tc>
          <w:tcPr>
            <w:tcW w:type="dxa" w:w="6236"/>
          </w:tcPr>
          <w:p>
            <w:pPr>
              <w:spacing w:lineRule="exact" w:line="600"/>
              <w:jc w:val="center"/>
            </w:pPr>
            <w:r/>
            <w:r>
              <w:rPr>
                <w:rFonts w:ascii="仿宋_GB2312" w:hAnsi="仿宋_GB2312" w:eastAsia="仿宋_GB2312"/>
                <w:b w:val="0"/>
                <w:color w:val="000000"/>
                <w:sz w:val="32"/>
              </w:rPr>
              <w:t>各类工程机械超15,000台</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财务数据未公开披露。工程机械行业毛利率受钢材、发动机成本与价格竞争影响；公司出口连年倍增、复购率高，盈利规模应随产能释放增长，但行业周期波动明显。</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无公开资产数据。重资产属性下固定资产（智造基地、设备）占比较大；10.1亿基地投产使资产规模显著扩大。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无公开负债数据。10.1亿基地投资带来资本开支，建议授信前核查有息负债与实控人连带；固定资产规模可支撑融资增信。</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无公开现金流数据。设备制造与出口业务对营运资金占用较大，需关注经营性现金流与应收（出口信用证/账期）管理。</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山推股份（推土机龙头、省属上市）相比，恒旺集团体量较小、定位中小吨位与多元化工程机械及矿山/新能源施工设备，出口与电商渠道灵活、细分市占率靠前（轮式挖机前五、钻机前三），是集群内差异化成长型企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自然人投资或控股的民营集团，设法定代表人（刘明涛）及经营管理层；旗下多子公司与研发中心，治理以创始人主导为主，逐步引入现代企业管理制度。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法定代表人刘明涛；管理团队以创始人/核心自然人股东为主，对市场与客户响应迅速。</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建立"来料—过程—成品"三级质检与关键焊缝100%探伤、液压100%试压的全流程品控；智造基地引入机器人焊接群与智能涂装线，内控与质量体系随规模升级；作为特种设备制造企业，安全合规为重点。</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宣传口径员工2,000余人（天眼查参保139人，口径差异或因外包/统计时点）；研发与产业工人随智造基地投产扩充，技术服务工程师团队支撑24小时售后。</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品矩阵广：40多品类覆盖挖掘机、推土机、钻机、打桩机等，全谱系（5吨至130吨级）。二是细分市占率：轮式挖机连续三年前五、钻机前三、旋挖打桩机市政约18%，差异化领先。三是全球化与渠道：出口180多国、电商+大客户（中铁/中交）结合，复购率65%。四是智造能力：10.1亿绿色基地、自动化率超70%、年产超15,000台，规模与效率优势。五是服务壁垒：24小时响应、全生命周期售后，客户粘性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工程机械强周期，受基建、地产、矿山与出口影响；应对为多元化与海外扩张。二是原料与汇率风险：钢材、发动机成本及汇率波动影响盈利；应对为集采、套保。三是客户与回款风险：工程与出口业务回款周期长、集中度较高（中铁/中交等大客户），需强化应收管理。四是扩张风险：10.1亿基地投产资本开支大，产能消化与现金流存在不确定性。五是合规风险：特种设备制造须持续合规；公开信息提示需关注合同与应收账款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中铁、中交等大型客户及出口应收可开展保理，盘活资金。供应链金融：为上游钢材、发动机、液压件供应商提供订单/存货融资。融资租赁：智造基地设备（机器人焊接群、数控产线）适合直租/回租；并可探索工程机械设备"以租代售"。小贷：面向经销商与临时周转。恒旺集团出口强劲、产能释放、细分市占率靠前，是优质成长客户，建议以"设备融资租赁+核心客户应收保理"组合切入，并关注扩张期现金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恒旺集团是济宁工程机械智造集群的差异化成长型企业，产品矩阵广、细分市占率靠前、出口与智造能力突出，10.1亿基地投产打开产能空间；但非上市、财务不透明、处重资产扩张期、抗周期能力有限。发展展望：据行业趋势，矿山机械、新能源施工（光伏打桩）与海外市场增长，公司有望依托智造基地与全谱系产品稳步扩张。建议：一是对接智造设备融资租赁与核心客户应收保理；二是授信前补充规范财务资料并评估扩张期现金流；三是关注行业周期、回款与汇率风险，设置动态监测。</w:t>
      </w:r>
    </w:p>
    <w:p>
      <w:pPr>
        <w:spacing w:lineRule="exact" w:line="600" w:before="0" w:after="0"/>
        <w:jc w:val="left"/>
      </w:pPr>
      <w:r>
        <w:rPr>
          <w:rFonts w:ascii="仿宋_GB2312" w:hAnsi="仿宋_GB2312" w:eastAsia="仿宋_GB2312"/>
          <w:b w:val="0"/>
          <w:color w:val="000000"/>
          <w:sz w:val="28"/>
        </w:rPr>
        <w:t>数据来源说明：天眼查/爱企查（工商、股权、参保）、公司官网 hengwang.cn 及海外站hwchinamachinery.com（产品、产能、市占率、出口）、公开宣传资料（绿色智造基地、客户与复购率）、行业媒体（pinso/中商114等）。财务数据未公开披露，已如实标注；参保人数与宣传口径差异已注明。</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