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海阳市新能源特色产业集群</w:t>
      </w:r>
    </w:p>
    <w:p>
      <w:pPr>
        <w:spacing w:lineRule="exact" w:line="600" w:before="240" w:after="240"/>
        <w:ind w:firstLine="0"/>
        <w:jc w:val="center"/>
      </w:pPr>
      <w:r>
        <w:rPr>
          <w:rFonts w:ascii="方正小标宋简体" w:hAnsi="方正小标宋简体" w:eastAsia="方正小标宋简体"/>
          <w:b w:val="0"/>
          <w:color w:val="000000"/>
          <w:sz w:val="44"/>
        </w:rPr>
        <w:t>国家电投集团山东海上风电有限公司企业分析报告</w:t>
      </w:r>
    </w:p>
    <w:p>
      <w:pPr>
        <w:spacing w:lineRule="exact" w:line="600" w:before="0" w:after="0"/>
        <w:jc w:val="left"/>
      </w:pPr>
      <w:r>
        <w:rPr>
          <w:rFonts w:ascii="仿宋_GB2312" w:hAnsi="仿宋_GB2312" w:eastAsia="仿宋_GB2312"/>
          <w:b w:val="0"/>
          <w:color w:val="000000"/>
          <w:sz w:val="28"/>
        </w:rPr>
        <w:t>（本报告数据来源于国家电投集团山东公司海上风电公司（"海风公司"）公开报道（央广网、新浪财经/胶东在线、金融界、大众网等）、国家电投集团官网及工商信息（含海阳电投风力发电有限公司等关联主体）。该公司为央企国家电投集团在鲁海上风电运营主体，单体财务数据未单独披露（并入国家电投集团合并报表），已在文中如实标注；企业全称以工商登记为准。）</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国家电投集团山东海上风电有限公司（运营主体常称"国家电投山东公司海上风电公司/海风公司"，在工商登记中对应"海阳电投风力发电有限公司"等关联主体，统一社会信用代码91370687MA3TYHUH0B，成立于2020年9月9日，法定代表人罗朝发，注册资本110,000万元人民币，注册地址为山东省烟台市海阳市核电装备制造工业园朝晖路188号）。企业为有限责任公司（非自然人投资或控股的法人独资），属电力、热力生产和供应业（风力发电），是国家电力投资集团有限公司在山东的海上风电专业运营主体。</w:t>
      </w:r>
    </w:p>
    <w:p>
      <w:pPr>
        <w:spacing w:lineRule="exact" w:line="600" w:before="0" w:after="0"/>
        <w:ind w:firstLine="420"/>
        <w:jc w:val="both"/>
      </w:pPr>
      <w:r>
        <w:rPr>
          <w:rFonts w:ascii="仿宋_GB2312" w:hAnsi="仿宋_GB2312" w:eastAsia="仿宋_GB2312"/>
          <w:b w:val="0"/>
          <w:color w:val="000000"/>
          <w:sz w:val="32"/>
        </w:rPr>
        <w:t>公司股权：经海阳电投能源发展有限公司（天津电投岛南绿色能源合伙企业持股99.99%等）100%持有，最终控制人为国务院国资委（经国家电投集团）。系中央企业下属专业化新能源运营企业。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公司作为国家电投山东公司旗下专业化海上风电平台，设场站（如海阳场站）、运维、工程、经营等职能部门，并打造"一中心两基地"培训体系，是国家电投集团海上风电人才摇篮。</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2020年5月，公司在海阳成立（海风公司），开启向海"揽"风征程。半岛南3号项目作为山东海上风电"拓荒者"，从开工到建成仅用217天，实现山东海上风电"零的突破"；半岛南V场址204天建成，成为国内首个"当年核准、当年开工、当年投产"的平价海上风电项目。历经5年"四年四投"，建成山东省首个、也是最大的百万千瓦级海上风电基地。</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集海洋能源项目开发、投资建设、运营维护于一体的专业化公司，以海上风电为核心，重点推进海洋能源综合开发利用。主营业务：海上风力发电项目的投资、建设、运营，配套储能，以及海洋生态增殖放流等。截至2024年底，海上风电运营装机容量达170万千瓦。</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以海上风电上网电费为主，单体财务未单独披露。已建成4个海上风电项目+1个储能电站：半岛南3号（300MW，2021.12）、半岛南V场址（500MW，2022.12）、半岛南U1一期（450MW，2023.11）、半岛南U1二期（450MW，2024.10）。</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主要产品：海上风电清洁电力（235台风机，覆盖半岛南多个场址）；配套储能电站；并提供海洋能源综合开发服务。单个项目年发电量如V场址约15亿度、U1一期约13.5亿度、U1二期约12亿度。</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电力客户为电网公司（国网山东），按标杆/市场化电价结算，需求稳定。配套储能参与电力辅助服务市场。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上游为风电机组（如中车、远景等）、海缆、基础结构（塔筒/管桩）及安装船。公司发挥链主作用，吸引中车、远景等上下游企业在山东建厂，带动投资69亿元、引入外资2.48亿美元。</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截至2024年底运营装机170万千瓦（1.7GW），累计安全稳定运行1,900余天，发出清洁电能超80亿千瓦时（至2026年3月报道已超100亿度）。在烟台、威海、日照储备多个资源，形成"投产一批、开发一批、储备一批"梯次布局。技术资源：国内单体容量最大、集电电压等级最高的220kV/1000MW模块化海上升压站；66kV集电系统（深远海）。</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电力经海上升压站—海底电缆接入陆上电网消纳，渠道稳定。公司通过技术改造将各风电场设备平均可利用率提升至99%以上。</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公司装机170万千瓦，占山东海上风电资源的"半壁江山"，是山东海上风电领跑者；累计发电超100亿度（截至2026年3月），可满足338万户家庭年用电。在山东海上风电装机规模与发电量居首位。</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国家电投集团山东海上风电有限公司为央企国家电投集团在鲁新能源运营主体，单体财务数据未单独对外披露（并入国家电投集团合并报表）。公开报道披露其运营装机由2021年30万千瓦增至2024年170万千瓦，累计发电超100亿度。营业收入、净利润等未公开，故不列示具体数值，特此如实标注。</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海上风电运营具高利用小时、低边际成本特征，随装机由30万千瓦增至170万千瓦，盈利规模快速增长。平价项目（V场址起）电价下降但利用小时与规模支撑收益。具体盈利指标未披露。</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公司资产以海上风电场（风机、海缆、升压站、基础）经营性固定资产为主，重资产、长周期，专用性强。</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单体负债未披露。海上风电投资强度大（单GW级），资本结构以资本金+长期债务为主，依托央企信用与绿色融资（低息），偿债能力稳健。</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风电运营现金流稳定（电费结算），经营现金流充沛。单体现金流未单独披露。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与海上风电同业相比，公司"四年四投"建设效率与170万千瓦装机居山东领先；设备可利用率99%以上、利用外资与产业链带动作用突出，运营与产业协同能力优于多数区域对手。</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公司为国有独资/控股有限责任公司，治理纳入国家电投山东公司管控，执行央企"三重一大"决策制度与党建工作要求，设相应治理与监督机构。</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法定代表人罗朝发（海阳电投风力发电有限公司）；海风公司副总经理程伟等公开介绍公司技术与规划。管理团队具新能源建设与运营资深背景。</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公司执行电力安全生产与海上作业HSE体系，智慧运维（储能巡检机器人、氢能无人机、图像识别）强化安全与效率，安全生产内控为核心。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公司打造"一中心两基地"培训体系，是国家电投海上风电人才摇篮，汇聚风电建设、运维与海洋工程专业人才。</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1. 资源与规模壁垒：山东海上风电"半壁江山"、170万千瓦装机、储备资源充足，先发与规模优势显著。</w:t>
      </w:r>
    </w:p>
    <w:p>
      <w:pPr>
        <w:spacing w:lineRule="exact" w:line="600" w:before="0" w:after="0"/>
        <w:ind w:firstLine="420"/>
        <w:jc w:val="both"/>
      </w:pPr>
      <w:r>
        <w:rPr>
          <w:rFonts w:ascii="仿宋_GB2312" w:hAnsi="仿宋_GB2312" w:eastAsia="仿宋_GB2312"/>
          <w:b w:val="0"/>
          <w:color w:val="000000"/>
          <w:sz w:val="32"/>
        </w:rPr>
        <w:t>2. 建设效率：217天/204天建成纪录，"四年四投"能力构成项目执行壁垒。</w:t>
      </w:r>
    </w:p>
    <w:p>
      <w:pPr>
        <w:spacing w:lineRule="exact" w:line="600" w:before="0" w:after="0"/>
        <w:ind w:firstLine="420"/>
        <w:jc w:val="both"/>
      </w:pPr>
      <w:r>
        <w:rPr>
          <w:rFonts w:ascii="仿宋_GB2312" w:hAnsi="仿宋_GB2312" w:eastAsia="仿宋_GB2312"/>
          <w:b w:val="0"/>
          <w:color w:val="000000"/>
          <w:sz w:val="32"/>
        </w:rPr>
        <w:t>3. 技术领先：模块化海上升压站、66kV集电系统（进口替代）、高压细水雾消防系统等创新。</w:t>
      </w:r>
    </w:p>
    <w:p>
      <w:pPr>
        <w:spacing w:lineRule="exact" w:line="600" w:before="0" w:after="0"/>
        <w:ind w:firstLine="420"/>
        <w:jc w:val="both"/>
      </w:pPr>
      <w:r>
        <w:rPr>
          <w:rFonts w:ascii="仿宋_GB2312" w:hAnsi="仿宋_GB2312" w:eastAsia="仿宋_GB2312"/>
          <w:b w:val="0"/>
          <w:color w:val="000000"/>
          <w:sz w:val="32"/>
        </w:rPr>
        <w:t>4. 产业链带动：吸引中车、远景等建厂，形成超200亿元产业规模，强链补链能力构成生态壁垒。</w:t>
      </w:r>
    </w:p>
    <w:p>
      <w:pPr>
        <w:spacing w:lineRule="exact" w:line="600" w:before="0" w:after="0"/>
        <w:ind w:firstLine="420"/>
        <w:jc w:val="both"/>
      </w:pPr>
      <w:r>
        <w:rPr>
          <w:rFonts w:ascii="仿宋_GB2312" w:hAnsi="仿宋_GB2312" w:eastAsia="仿宋_GB2312"/>
          <w:b w:val="0"/>
          <w:color w:val="000000"/>
          <w:sz w:val="32"/>
        </w:rPr>
        <w:t>5. 央企信用：国家电投背景，资源获取与融资优势突出。</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1. 政策与电价风险：海上风电电价下行（平价）、电力市场化改革影响收益。</w:t>
      </w:r>
    </w:p>
    <w:p>
      <w:pPr>
        <w:spacing w:lineRule="exact" w:line="600" w:before="0" w:after="0"/>
        <w:ind w:firstLine="420"/>
        <w:jc w:val="both"/>
      </w:pPr>
      <w:r>
        <w:rPr>
          <w:rFonts w:ascii="仿宋_GB2312" w:hAnsi="仿宋_GB2312" w:eastAsia="仿宋_GB2312"/>
          <w:b w:val="0"/>
          <w:color w:val="000000"/>
          <w:sz w:val="32"/>
        </w:rPr>
        <w:t>2. 自然与运维风险：海上高盐雾、台风等环境，运维成本高、设备故障影响大，公司通过智慧运维将可利用率提至99%以上。</w:t>
      </w:r>
    </w:p>
    <w:p>
      <w:pPr>
        <w:spacing w:lineRule="exact" w:line="600" w:before="0" w:after="0"/>
        <w:ind w:firstLine="420"/>
        <w:jc w:val="both"/>
      </w:pPr>
      <w:r>
        <w:rPr>
          <w:rFonts w:ascii="仿宋_GB2312" w:hAnsi="仿宋_GB2312" w:eastAsia="仿宋_GB2312"/>
          <w:b w:val="0"/>
          <w:color w:val="000000"/>
          <w:sz w:val="32"/>
        </w:rPr>
        <w:t>3. 建设投资风险：深远海项目资本开支大、工期长，需平衡扩张与回报。</w:t>
      </w:r>
    </w:p>
    <w:p>
      <w:pPr>
        <w:spacing w:lineRule="exact" w:line="600" w:before="0" w:after="0"/>
        <w:ind w:firstLine="420"/>
        <w:jc w:val="both"/>
      </w:pPr>
      <w:r>
        <w:rPr>
          <w:rFonts w:ascii="仿宋_GB2312" w:hAnsi="仿宋_GB2312" w:eastAsia="仿宋_GB2312"/>
          <w:b w:val="0"/>
          <w:color w:val="000000"/>
          <w:sz w:val="32"/>
        </w:rPr>
        <w:t>4. 消纳与并网风险：海上风电集中接入对电网消纳提出要求。公司应对措施：推进深远海技术、储能配套、生态增殖放流（已放流7.41亿单位、带动渔业收入1.2亿元）、优化运维。</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1. 供应链金融：风机、海缆与基础结构采购可开展保理与票据融资。</w:t>
      </w:r>
    </w:p>
    <w:p>
      <w:pPr>
        <w:spacing w:lineRule="exact" w:line="600" w:before="0" w:after="0"/>
        <w:ind w:firstLine="420"/>
        <w:jc w:val="both"/>
      </w:pPr>
      <w:r>
        <w:rPr>
          <w:rFonts w:ascii="仿宋_GB2312" w:hAnsi="仿宋_GB2312" w:eastAsia="仿宋_GB2312"/>
          <w:b w:val="0"/>
          <w:color w:val="000000"/>
          <w:sz w:val="32"/>
        </w:rPr>
        <w:t>2. 融资租赁：海缆施工船、储能设备等适合以融资租赁。</w:t>
      </w:r>
    </w:p>
    <w:p>
      <w:pPr>
        <w:spacing w:lineRule="exact" w:line="600" w:before="0" w:after="0"/>
        <w:ind w:firstLine="420"/>
        <w:jc w:val="both"/>
      </w:pPr>
      <w:r>
        <w:rPr>
          <w:rFonts w:ascii="仿宋_GB2312" w:hAnsi="仿宋_GB2312" w:eastAsia="仿宋_GB2312"/>
          <w:b w:val="0"/>
          <w:color w:val="000000"/>
          <w:sz w:val="32"/>
        </w:rPr>
        <w:t>3. 产业基金/股权投资：山东投资可围绕山东海上风电产业链（装备、运维、储能），支持其深远海项目与产业集群。</w:t>
      </w:r>
    </w:p>
    <w:p>
      <w:pPr>
        <w:spacing w:lineRule="exact" w:line="600" w:before="0" w:after="0"/>
        <w:ind w:firstLine="420"/>
        <w:jc w:val="both"/>
      </w:pPr>
      <w:r>
        <w:rPr>
          <w:rFonts w:ascii="仿宋_GB2312" w:hAnsi="仿宋_GB2312" w:eastAsia="仿宋_GB2312"/>
          <w:b w:val="0"/>
          <w:color w:val="000000"/>
          <w:sz w:val="32"/>
        </w:rPr>
        <w:t>4. 小贷/过桥：针对项目建设节点付款，可提供合规短期流动性，须严格评估回款与增信。</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国家电投山东海上风电公司是海阳新能源集群的央企风电龙头，装机170万千瓦、占山东海风半壁江山，建设效率与技术领先，产业链带动作用突出；单体财务未披露，但依托国家电投信用与稳健运营，经营坚实。</w:t>
      </w:r>
    </w:p>
    <w:p>
      <w:pPr>
        <w:spacing w:lineRule="exact" w:line="600" w:before="0" w:after="0"/>
        <w:ind w:firstLine="420"/>
        <w:jc w:val="both"/>
      </w:pPr>
      <w:r>
        <w:rPr>
          <w:rFonts w:ascii="仿宋_GB2312" w:hAnsi="仿宋_GB2312" w:eastAsia="仿宋_GB2312"/>
          <w:b w:val="0"/>
          <w:color w:val="000000"/>
          <w:sz w:val="32"/>
        </w:rPr>
        <w:t>发展展望：据公司规划，2027年装机达450万千瓦、2030年达700万千瓦，向深远海与海洋能源综合开发进军；持续带动山东海上风电装备与产业集群发展。</w:t>
      </w:r>
    </w:p>
    <w:p>
      <w:pPr>
        <w:spacing w:lineRule="exact" w:line="600" w:before="0" w:after="0"/>
        <w:ind w:firstLine="420"/>
        <w:jc w:val="both"/>
      </w:pPr>
      <w:r>
        <w:rPr>
          <w:rFonts w:ascii="仿宋_GB2312" w:hAnsi="仿宋_GB2312" w:eastAsia="仿宋_GB2312"/>
          <w:b w:val="0"/>
          <w:color w:val="000000"/>
          <w:sz w:val="32"/>
        </w:rPr>
        <w:t>建议：一是山东投资可围绕山东海上风电产业链开展协同（装备、运维、储能）；二是融资以产业基金与供应链金融为主，匹配央企信用；三是关注电价市场化与深远海技术风险，相关合作须稳健审慎。</w:t>
      </w:r>
    </w:p>
    <w:p>
      <w:pPr>
        <w:spacing w:lineRule="exact" w:line="600" w:before="120" w:after="120"/>
        <w:ind w:firstLine="420"/>
        <w:jc w:val="left"/>
      </w:pPr>
      <w:r>
        <w:rPr>
          <w:rFonts w:ascii="楷体_GB2312" w:hAnsi="楷体_GB2312" w:eastAsia="楷体_GB2312"/>
          <w:b w:val="0"/>
          <w:color w:val="000000"/>
          <w:sz w:val="32"/>
        </w:rPr>
        <w:t>（附）数据来源说明</w:t>
      </w:r>
    </w:p>
    <w:p>
      <w:pPr>
        <w:spacing w:lineRule="exact" w:line="600" w:before="0" w:after="0"/>
        <w:ind w:firstLine="420"/>
        <w:jc w:val="both"/>
      </w:pPr>
      <w:r>
        <w:rPr>
          <w:rFonts w:ascii="仿宋_GB2312" w:hAnsi="仿宋_GB2312" w:eastAsia="仿宋_GB2312"/>
          <w:b w:val="0"/>
          <w:color w:val="000000"/>
          <w:sz w:val="32"/>
        </w:rPr>
        <w:t>本报告使用数据来源：国家电投集团山东公司海上风电公司公开报道（央广网、新浪财经/胶东在线、金融界、大众网等）、国家电投集团官网、工商信息（含海阳电投风力发电有限公司等关联主体）。单体财务未披露事项已如实标注；企业全称以工商登记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