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海阳市航空航天特色产业集群</w:t>
      </w:r>
    </w:p>
    <w:p>
      <w:pPr>
        <w:spacing w:lineRule="exact" w:line="600" w:before="240" w:after="240"/>
        <w:ind w:firstLine="0"/>
        <w:jc w:val="center"/>
      </w:pPr>
      <w:r>
        <w:rPr>
          <w:rFonts w:ascii="方正小标宋简体" w:hAnsi="方正小标宋简体" w:eastAsia="方正小标宋简体"/>
          <w:b w:val="0"/>
          <w:color w:val="000000"/>
          <w:sz w:val="44"/>
        </w:rPr>
        <w:t>东方空间技术(山东)有限公司企业分析报告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烟台日报/齐鲁晚报/大众日报/潍坊融媒等权威媒体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东方空间技术（山东）有限公司成立于2016年10月17日，法定代表人布向伟，统一社会信用代码91370687MA3CJPTA1U，企业类型为有限责任公司（非自然人投资或控股的法人独资），注册资本110,000万元，注册地址位于山东省烟台市海阳市凤城街道海翔中路1号，登记机关为海阳市市场监督管理局，经营状态为存续，人员规模小于50人（2025年工商年报参保29人），属小微企业、增值税一般纳税人。</w:t>
      </w:r>
    </w:p>
    <w:p>
      <w:pPr>
        <w:spacing w:lineRule="exact" w:line="600" w:before="0" w:after="0"/>
        <w:ind w:firstLine="420"/>
        <w:jc w:val="both"/>
      </w:pPr>
      <w:r>
        <w:rPr>
          <w:rFonts w:ascii="仿宋_GB2312" w:hAnsi="仿宋_GB2312" w:eastAsia="仿宋_GB2312"/>
          <w:b w:val="0"/>
          <w:color w:val="000000"/>
          <w:sz w:val="32"/>
        </w:rPr>
        <w:t>股权结构：股东东方空间（山东）科技有限公司持股100%。东方空间（山东）科技有限公司成立于2020年6月，注册资本4,051.72万元，法定代表人布向伟，实际控制人为彭昊旻（通过泰安锦逸星龙企业管理合伙企业持股约40.47%、彭昊旻持有该合伙企业89.32%股权）；公司股东含经纬中国、红杉中国、山行资本、米哈游、三一重工、同创伟业、上海科创、中航弘华等数十家知名机构，2026年初估值约130亿元，已启动IPO辅导准备工作。属民营控股、拟上市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山东公司为东方空间（山东）科技有限公司在烟台海阳设立的全资研发制造基地，设法定代表人布向伟及相应经营管理层；母公司设联合创始人、副总裁（彭昊旻）等，治理按拟上市公众公司标准搭建。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2020年6月东方空间（山东）科技有限公司成立；2020年起连续完成天使轮至Pre-C轮融资（经纬、红杉、山行、米哈游、三一、同创伟业等入局），累计融资超20亿元；2024年1月11日“引力一号”在山东海阳附近海域首飞成功，创全球最大固体运载火箭纪录；2025年10月遥二发射送3颗卫星入轨；2026年7月22日遥四在东海远海“一箭九星”成功，刷新我国民营商业航天单次入轨重量纪录；2026年8月完成C轮融资并启动IPO辅导准备，“引力二号”液体可回收火箭预计2026年四季度首飞。</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中国商业航天运载火箭与新型空天运输工具设计制造企业、民营商业航天独角兽。主营业务为太空运输，通过研发“引力”系列运载火箭、“原力”系列火箭发动机、“鸿力”系列空天信息装备，打造一次性与可回收重复使用系列化空天运输产品，提供低成本、规模化、便捷化发射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业务围绕“固液双轨并行”技术战略：引力一号（全球最大固体运载火箭，LEO运力6.5吨、SSO 4.2吨）已商业化运营；引力二号（中大型液体可回收火箭，采用9台自研“原力-110”液氧煤油发动机，LEO运力21.5吨、SSO 15吨）处于首飞前冲刺；另含原力发动机、鸿力空天信息装备。收入以发射服务收费为主，尚未公开分业务占比。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核心产品：“引力一号”全固体捆绑式中型运载火箭（全高30米、起飞重量405吨、起飞推力600吨，攻克4大关键技术群、17项核心技术、完成23项大型地面试验及1452次试验迭代）；“引力二号”液体可回收火箭（芯一级按回收复用设计）；“原力-110”液氧煤油发动机；“鸿力”系列空天信息装备。提供一站式发射服务（搭载与整箭预定）及海上发射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卫星运营商与星座组网企业。公开披露2023年长光卫星向东方空间采购4发引力一号，合同总价7.8亿元（约每发1.95亿元）；按6.5吨LEO满载运力静态测算，单位发射价格约3万元/公斤，较过去国内约10万元/公斤降低一半以上。2026年计划实施三次卫星批量发射任务，含大型卫星互联网组网发射。</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生产所需为火箭箭体结构、发动机、电子元器件、固体推进剂及配套物资，涉及大量高可靠供应链；海阳基地就近配套九天行歌等贮箱企业，形成本地产业链协同。</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海阳基地为引力系列火箭总装测试中心，具备海上发射组织能力；东方航天港已成功保障我国15次89颗卫星海上发射，形成“前港后厂、北固南液、三区一体、出厂发射”集成能力。公司获商业航天相关研制发射资质，入选赛迪科创Pre独角兽（2025）、胡润全球独角兽榜（2026）。</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采用“一站式发射服务”直销模式，对接卫星星座客户整箭预定与搭载；以海上发射差异化能力释放商业空间，摆脱国内火箭发射工位稀缺约束。</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拟IPO企业，未公开披露经审计财务数据（营收、利润、资产等）。据公开报道，引力一号已进入稳定履约的商业化、规模化运营阶段，长光卫星4发订单7.8亿元体现批量需求；年均研发投入约7—10亿元，累计融资超20亿元，2026年初估值约130亿元。注：上述为媒体报道口径，非审计财务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东方空间技术（山东）有限公司为非上市拟IPO企业，近三年经审计财务报表未公开披露；下表列示公开媒体报道的可参照经营信息，不作财务数据编造。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公开报道口径</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110,000万元（山东公司）</w:t>
            </w:r>
          </w:p>
        </w:tc>
      </w:tr>
      <w:tr>
        <w:tc>
          <w:tcPr>
            <w:tcW w:type="dxa" w:w="2551"/>
          </w:tcPr>
          <w:p>
            <w:pPr>
              <w:spacing w:lineRule="exact" w:line="600"/>
              <w:jc w:val="center"/>
            </w:pPr>
            <w:r/>
            <w:r>
              <w:rPr>
                <w:rFonts w:ascii="仿宋_GB2312" w:hAnsi="仿宋_GB2312" w:eastAsia="仿宋_GB2312"/>
                <w:b w:val="0"/>
                <w:color w:val="000000"/>
                <w:sz w:val="32"/>
              </w:rPr>
              <w:t>母公司估值</w:t>
            </w:r>
          </w:p>
        </w:tc>
        <w:tc>
          <w:tcPr>
            <w:tcW w:type="dxa" w:w="6236"/>
          </w:tcPr>
          <w:p>
            <w:pPr>
              <w:spacing w:lineRule="exact" w:line="600"/>
              <w:jc w:val="center"/>
            </w:pPr>
            <w:r/>
            <w:r>
              <w:rPr>
                <w:rFonts w:ascii="仿宋_GB2312" w:hAnsi="仿宋_GB2312" w:eastAsia="仿宋_GB2312"/>
                <w:b w:val="0"/>
                <w:color w:val="000000"/>
                <w:sz w:val="32"/>
              </w:rPr>
              <w:t>约130亿元（2026年初）</w:t>
            </w:r>
          </w:p>
        </w:tc>
      </w:tr>
      <w:tr>
        <w:tc>
          <w:tcPr>
            <w:tcW w:type="dxa" w:w="2551"/>
          </w:tcPr>
          <w:p>
            <w:pPr>
              <w:spacing w:lineRule="exact" w:line="600"/>
              <w:jc w:val="center"/>
            </w:pPr>
            <w:r/>
            <w:r>
              <w:rPr>
                <w:rFonts w:ascii="仿宋_GB2312" w:hAnsi="仿宋_GB2312" w:eastAsia="仿宋_GB2312"/>
                <w:b w:val="0"/>
                <w:color w:val="000000"/>
                <w:sz w:val="32"/>
              </w:rPr>
              <w:t>累计融资</w:t>
            </w:r>
          </w:p>
        </w:tc>
        <w:tc>
          <w:tcPr>
            <w:tcW w:type="dxa" w:w="6236"/>
          </w:tcPr>
          <w:p>
            <w:pPr>
              <w:spacing w:lineRule="exact" w:line="600"/>
              <w:jc w:val="center"/>
            </w:pPr>
            <w:r/>
            <w:r>
              <w:rPr>
                <w:rFonts w:ascii="仿宋_GB2312" w:hAnsi="仿宋_GB2312" w:eastAsia="仿宋_GB2312"/>
                <w:b w:val="0"/>
                <w:color w:val="000000"/>
                <w:sz w:val="32"/>
              </w:rPr>
              <w:t>超20亿元（天使轮至Pre-C/C轮）</w:t>
            </w:r>
          </w:p>
        </w:tc>
      </w:tr>
      <w:tr>
        <w:tc>
          <w:tcPr>
            <w:tcW w:type="dxa" w:w="2551"/>
          </w:tcPr>
          <w:p>
            <w:pPr>
              <w:spacing w:lineRule="exact" w:line="600"/>
              <w:jc w:val="center"/>
            </w:pPr>
            <w:r/>
            <w:r>
              <w:rPr>
                <w:rFonts w:ascii="仿宋_GB2312" w:hAnsi="仿宋_GB2312" w:eastAsia="仿宋_GB2312"/>
                <w:b w:val="0"/>
                <w:color w:val="000000"/>
                <w:sz w:val="32"/>
              </w:rPr>
              <w:t>年均研发/烧钱</w:t>
            </w:r>
          </w:p>
        </w:tc>
        <w:tc>
          <w:tcPr>
            <w:tcW w:type="dxa" w:w="6236"/>
          </w:tcPr>
          <w:p>
            <w:pPr>
              <w:spacing w:lineRule="exact" w:line="600"/>
              <w:jc w:val="center"/>
            </w:pPr>
            <w:r/>
            <w:r>
              <w:rPr>
                <w:rFonts w:ascii="仿宋_GB2312" w:hAnsi="仿宋_GB2312" w:eastAsia="仿宋_GB2312"/>
                <w:b w:val="0"/>
                <w:color w:val="000000"/>
                <w:sz w:val="32"/>
              </w:rPr>
              <w:t>约7—10亿元</w:t>
            </w:r>
          </w:p>
        </w:tc>
      </w:tr>
      <w:tr>
        <w:tc>
          <w:tcPr>
            <w:tcW w:type="dxa" w:w="2551"/>
          </w:tcPr>
          <w:p>
            <w:pPr>
              <w:spacing w:lineRule="exact" w:line="600"/>
              <w:jc w:val="center"/>
            </w:pPr>
            <w:r/>
            <w:r>
              <w:rPr>
                <w:rFonts w:ascii="仿宋_GB2312" w:hAnsi="仿宋_GB2312" w:eastAsia="仿宋_GB2312"/>
                <w:b w:val="0"/>
                <w:color w:val="000000"/>
                <w:sz w:val="32"/>
              </w:rPr>
              <w:t>长光卫星订单</w:t>
            </w:r>
          </w:p>
        </w:tc>
        <w:tc>
          <w:tcPr>
            <w:tcW w:type="dxa" w:w="6236"/>
          </w:tcPr>
          <w:p>
            <w:pPr>
              <w:spacing w:lineRule="exact" w:line="600"/>
              <w:jc w:val="center"/>
            </w:pPr>
            <w:r/>
            <w:r>
              <w:rPr>
                <w:rFonts w:ascii="仿宋_GB2312" w:hAnsi="仿宋_GB2312" w:eastAsia="仿宋_GB2312"/>
                <w:b w:val="0"/>
                <w:color w:val="000000"/>
                <w:sz w:val="32"/>
              </w:rPr>
              <w:t>4发引力一号，总价7.8亿元</w:t>
            </w:r>
          </w:p>
        </w:tc>
      </w:tr>
      <w:tr>
        <w:tc>
          <w:tcPr>
            <w:tcW w:type="dxa" w:w="2551"/>
          </w:tcPr>
          <w:p>
            <w:pPr>
              <w:spacing w:lineRule="exact" w:line="600"/>
              <w:jc w:val="center"/>
            </w:pPr>
            <w:r/>
            <w:r>
              <w:rPr>
                <w:rFonts w:ascii="仿宋_GB2312" w:hAnsi="仿宋_GB2312" w:eastAsia="仿宋_GB2312"/>
                <w:b w:val="0"/>
                <w:color w:val="000000"/>
                <w:sz w:val="32"/>
              </w:rPr>
              <w:t>发射单价</w:t>
            </w:r>
          </w:p>
        </w:tc>
        <w:tc>
          <w:tcPr>
            <w:tcW w:type="dxa" w:w="6236"/>
          </w:tcPr>
          <w:p>
            <w:pPr>
              <w:spacing w:lineRule="exact" w:line="600"/>
              <w:jc w:val="center"/>
            </w:pPr>
            <w:r/>
            <w:r>
              <w:rPr>
                <w:rFonts w:ascii="仿宋_GB2312" w:hAnsi="仿宋_GB2312" w:eastAsia="仿宋_GB2312"/>
                <w:b w:val="0"/>
                <w:color w:val="000000"/>
                <w:sz w:val="32"/>
              </w:rPr>
              <w:t>约3万元/公斤（静态测算）</w:t>
            </w:r>
          </w:p>
        </w:tc>
      </w:tr>
      <w:tr>
        <w:tc>
          <w:tcPr>
            <w:tcW w:type="dxa" w:w="2551"/>
          </w:tcPr>
          <w:p>
            <w:pPr>
              <w:spacing w:lineRule="exact" w:line="600"/>
              <w:jc w:val="center"/>
            </w:pPr>
            <w:r/>
            <w:r>
              <w:rPr>
                <w:rFonts w:ascii="仿宋_GB2312" w:hAnsi="仿宋_GB2312" w:eastAsia="仿宋_GB2312"/>
                <w:b w:val="0"/>
                <w:color w:val="000000"/>
                <w:sz w:val="32"/>
              </w:rPr>
              <w:t>审计营收/利润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火箭行业重资产、高投入，单次发射成本约1—2亿元，每年烧钱7—10亿元，当前收入主要来自发射服务（如长光卫星订单），尚未形成稳定盈利；公司目标未来5—10年将发射次数转化为收入与利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无公开资产数据。重资产属性下固定资产（产线、试验台、发射支持）占比较高，与火箭研制发射投入匹配。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无公开负债数据。公司主要靠股权融资支撑研发，若推进债权融资需关注偿债与现金流匹配。</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创始人布向伟公开强调“现金流决定企业生死”，每年发射3—5次即需烧7—10亿元，经营现金流高度依赖融资与发射回款节奏，是核心生命线。</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与蓝箭航天、天兵科技、星河动力、中科宇航等民营火箭企业相比，东方空间以“全球最大固体火箭+海上发射+固液并行”形成差异化，引力一号三发全胜、进入商业化运营，估值约130亿元居行业前列。</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拟上市公众公司治理框架，设联合创始人/副总裁（彭昊旻）等，正推进股份制改革与IPO辅导，治理规范度随资本化提升。</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法定代表人布向伟（原中国运载火箭技术研究院长征十一号海射型火箭结构总体设计师，领衔创立）；联合创始人、副总裁彭昊旻（实际控制人）。核心团队源自体制内航天院所，技术与工程经验深厚。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按航天工程研制体系建立内控与质量管控，屡次发射成功验证体系有效性；IPO辅导将进一步提升信息披露与内控规范。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参保约29人（山东公司口径，研发制造核心团队或在母公司体系），聚集航天总体设计、发动机、结构与发射组织等高端人才，团队规模随业务扩张增长。</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与技术壁垒：引力一号为全球最大在役固体运载火箭、三发全胜，攻克17项核心技术与千余次试验迭代；引力二号自研原力-110发动机、可回收复用设计，技术门槛高。二是海上发射差异化能力：一站式海上发射摆脱工位约束，机动性强。三是资本与背书：累计融资超20亿元、估值约130亿元，经纬/红杉/米哈游/三一/同创伟业等顶级机构加持，上市预期明确。四是客户与订单：长光卫星等批量订单验证商业化能力。五是产业集群：海阳东方航天港“出厂即发射”协同降低交付成本。</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重资产与现金流风险（重点）：火箭研制发射极烧钱，每年7—10亿元，现金流决定生死，若融资节奏中断或发射失败将严重冲击；应对为多元化融资、稳步提升发射频次摊薄成本。二是发射失败与技术风险：引力二号可回收技术难度跃升，首飞与回收存在不确定性。三是客户与商业化风险：当前收入依赖少数星座大单，规模化组网需求兑现节奏影响收入。四是政策与合规风险：商业航天受空域、发射许可、出口等监管。五是竞争风险：民营火箭赛道拥挤，蓝箭、天兵、星河动力等同台竞争，须以运力、成本、可靠性综合胜出。</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卫星运营商的发射服务应收账款可开展保理，改善现金流。供应链金融：围绕核心企业为上游配套（如贮箱、发动机部件）供应商提供订单融资、票据贴现。融资租赁：总装测试设备、试验台等资本开支大，适合设备直租/回租。小贷：面向临时周转。鉴于企业估值高、资本背书强、处IPO前夜，可作为战略级重点客户，但须关注其仍处亏损期、现金流高度依赖外部融资的属性，建议以“供应链金融+设备融资租赁”组合、绑定发射回款与资产增信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方空间是海阳航空航天产业集群的民营商业航天独角兽、引力一号全球最大固体火箭制造商，技术、资本、产业集群与上市预期俱佳，但重资产烧钱、盈利未验证、技术（液体回收）难度高。发展展望：据公司规划与行业趋势，引力二号2026年四季度首飞后将打开中大型卫星组网市场，公司有望成为“商业火箭第一股”。建议：一是以供应链金融与设备融资租赁切入，绑定发射回款与资产；二是关注IPO进程与融资节奏，评估股权合作可能；三是动态监测发射成功率、引力二号首飞及回收验证、现金流安全边际。</w:t>
      </w:r>
    </w:p>
    <w:p>
      <w:pPr>
        <w:spacing w:lineRule="exact" w:line="600" w:before="0" w:after="0"/>
        <w:jc w:val="left"/>
      </w:pPr>
      <w:r>
        <w:rPr>
          <w:rFonts w:ascii="仿宋_GB2312" w:hAnsi="仿宋_GB2312" w:eastAsia="仿宋_GB2312"/>
          <w:b w:val="0"/>
          <w:color w:val="000000"/>
          <w:sz w:val="28"/>
        </w:rPr>
        <w:t>数据来源说明：凤凰财经、DoNews、ITBEAR、腾讯新闻、泰山财经/新黄河（东方空间融资与IPO报道）、东方空间官网 orienspace.com（产品与发射服务）、天眼查（工商股权）。经审计财务数据未公开披露，已如实标注并采用媒体报道口径参照。</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