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淄博市博山区机电泵特色产业集群</w:t>
      </w:r>
    </w:p>
    <w:p>
      <w:pPr>
        <w:spacing w:lineRule="exact" w:line="600" w:before="240" w:after="240"/>
        <w:ind w:firstLine="0"/>
        <w:jc w:val="center"/>
      </w:pPr>
      <w:r>
        <w:rPr>
          <w:rFonts w:ascii="方正小标宋简体" w:hAnsi="方正小标宋简体" w:eastAsia="方正小标宋简体"/>
          <w:b w:val="0"/>
          <w:color w:val="000000"/>
          <w:sz w:val="44"/>
        </w:rPr>
        <w:t>山东博泵科技股份有限公司企业分析报告</w:t>
      </w:r>
    </w:p>
    <w:p>
      <w:pPr>
        <w:spacing w:lineRule="exact" w:line="600" w:before="0" w:after="0"/>
        <w:jc w:val="left"/>
      </w:pPr>
      <w:r>
        <w:rPr>
          <w:rFonts w:ascii="仿宋_GB2312" w:hAnsi="仿宋_GB2312" w:eastAsia="仿宋_GB2312"/>
          <w:b w:val="0"/>
          <w:color w:val="000000"/>
          <w:sz w:val="28"/>
        </w:rPr>
        <w:t>（本报告依据博山区公开报道及企业公开信息编制，涉及未公开披露事项均如实标注，用于产业集群代表企业分析参考。）</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（一）工商登记信息</w:t>
      </w:r>
    </w:p>
    <w:tbl>
      <w:tblPr>
        <w:tblStyle w:val="TableGrid"/>
        <w:tblW w:type="auto" w:w="0"/>
        <w:jc w:val="center"/>
        <w:tblLook w:firstColumn="1" w:firstRow="1" w:lastColumn="0" w:lastRow="0" w:noHBand="0" w:noVBand="1" w:val="04A0"/>
      </w:tblPr>
      <w:tblGrid>
        <w:gridCol w:w="4422"/>
        <w:gridCol w:w="4422"/>
      </w:tblGrid>
      <w:tr>
        <w:tc>
          <w:tcPr>
            <w:tcW w:type="dxa" w:w="2381"/>
          </w:tcPr>
          <w:p>
            <w:pPr>
              <w:spacing w:lineRule="exact" w:line="600"/>
              <w:jc w:val="center"/>
            </w:pPr>
            <w:r/>
            <w:r>
              <w:rPr>
                <w:rFonts w:ascii="黑体" w:hAnsi="黑体" w:eastAsia="黑体"/>
                <w:b/>
                <w:color w:val="000000"/>
                <w:sz w:val="32"/>
              </w:rPr>
              <w:t>项目</w:t>
            </w:r>
          </w:p>
        </w:tc>
        <w:tc>
          <w:tcPr>
            <w:tcW w:type="dxa" w:w="6463"/>
          </w:tcPr>
          <w:p>
            <w:pPr>
              <w:spacing w:lineRule="exact" w:line="600"/>
              <w:jc w:val="center"/>
            </w:pPr>
            <w:r/>
            <w:r>
              <w:rPr>
                <w:rFonts w:ascii="黑体" w:hAnsi="黑体" w:eastAsia="黑体"/>
                <w:b/>
                <w:color w:val="000000"/>
                <w:sz w:val="32"/>
              </w:rPr>
              <w:t>内容</w:t>
            </w:r>
          </w:p>
        </w:tc>
      </w:tr>
      <w:tr>
        <w:tc>
          <w:tcPr>
            <w:tcW w:type="dxa" w:w="2381"/>
          </w:tcPr>
          <w:p>
            <w:pPr>
              <w:spacing w:lineRule="exact" w:line="600"/>
              <w:jc w:val="center"/>
            </w:pPr>
            <w:r/>
            <w:r>
              <w:rPr>
                <w:rFonts w:ascii="仿宋_GB2312" w:hAnsi="仿宋_GB2312" w:eastAsia="仿宋_GB2312"/>
                <w:b w:val="0"/>
                <w:color w:val="000000"/>
                <w:sz w:val="32"/>
              </w:rPr>
              <w:t>企业名称</w:t>
            </w:r>
          </w:p>
        </w:tc>
        <w:tc>
          <w:tcPr>
            <w:tcW w:type="dxa" w:w="6463"/>
          </w:tcPr>
          <w:p>
            <w:pPr>
              <w:spacing w:lineRule="exact" w:line="600"/>
              <w:jc w:val="center"/>
            </w:pPr>
            <w:r/>
            <w:r>
              <w:rPr>
                <w:rFonts w:ascii="仿宋_GB2312" w:hAnsi="仿宋_GB2312" w:eastAsia="仿宋_GB2312"/>
                <w:b w:val="0"/>
                <w:color w:val="000000"/>
                <w:sz w:val="32"/>
              </w:rPr>
              <w:t>山东博泵科技股份有限公司</w:t>
            </w:r>
          </w:p>
        </w:tc>
      </w:tr>
      <w:tr>
        <w:tc>
          <w:tcPr>
            <w:tcW w:type="dxa" w:w="2381"/>
          </w:tcPr>
          <w:p>
            <w:pPr>
              <w:spacing w:lineRule="exact" w:line="600"/>
              <w:jc w:val="center"/>
            </w:pPr>
            <w:r/>
            <w:r>
              <w:rPr>
                <w:rFonts w:ascii="仿宋_GB2312" w:hAnsi="仿宋_GB2312" w:eastAsia="仿宋_GB2312"/>
                <w:b w:val="0"/>
                <w:color w:val="000000"/>
                <w:sz w:val="32"/>
              </w:rPr>
              <w:t>经营场所</w:t>
            </w:r>
          </w:p>
        </w:tc>
        <w:tc>
          <w:tcPr>
            <w:tcW w:type="dxa" w:w="6463"/>
          </w:tcPr>
          <w:p>
            <w:pPr>
              <w:spacing w:lineRule="exact" w:line="600"/>
              <w:jc w:val="center"/>
            </w:pPr>
            <w:r/>
            <w:r>
              <w:rPr>
                <w:rFonts w:ascii="仿宋_GB2312" w:hAnsi="仿宋_GB2312" w:eastAsia="仿宋_GB2312"/>
                <w:b w:val="0"/>
                <w:color w:val="000000"/>
                <w:sz w:val="32"/>
              </w:rPr>
              <w:t>淄博市博山区（机电泵产业园区）</w:t>
            </w:r>
          </w:p>
        </w:tc>
      </w:tr>
      <w:tr>
        <w:tc>
          <w:tcPr>
            <w:tcW w:type="dxa" w:w="2381"/>
          </w:tcPr>
          <w:p>
            <w:pPr>
              <w:spacing w:lineRule="exact" w:line="600"/>
              <w:jc w:val="center"/>
            </w:pPr>
            <w:r/>
            <w:r>
              <w:rPr>
                <w:rFonts w:ascii="仿宋_GB2312" w:hAnsi="仿宋_GB2312" w:eastAsia="仿宋_GB2312"/>
                <w:b w:val="0"/>
                <w:color w:val="000000"/>
                <w:sz w:val="32"/>
              </w:rPr>
              <w:t>所属集群</w:t>
            </w:r>
          </w:p>
        </w:tc>
        <w:tc>
          <w:tcPr>
            <w:tcW w:type="dxa" w:w="6463"/>
          </w:tcPr>
          <w:p>
            <w:pPr>
              <w:spacing w:lineRule="exact" w:line="600"/>
              <w:jc w:val="center"/>
            </w:pPr>
            <w:r/>
            <w:r>
              <w:rPr>
                <w:rFonts w:ascii="仿宋_GB2312" w:hAnsi="仿宋_GB2312" w:eastAsia="仿宋_GB2312"/>
                <w:b w:val="0"/>
                <w:color w:val="000000"/>
                <w:sz w:val="32"/>
              </w:rPr>
              <w:t>淄博市博山区机电泵特色产业集群</w:t>
            </w:r>
          </w:p>
        </w:tc>
      </w:tr>
      <w:tr>
        <w:tc>
          <w:tcPr>
            <w:tcW w:type="dxa" w:w="2381"/>
          </w:tcPr>
          <w:p>
            <w:pPr>
              <w:spacing w:lineRule="exact" w:line="600"/>
              <w:jc w:val="center"/>
            </w:pPr>
            <w:r/>
            <w:r>
              <w:rPr>
                <w:rFonts w:ascii="仿宋_GB2312" w:hAnsi="仿宋_GB2312" w:eastAsia="仿宋_GB2312"/>
                <w:b w:val="0"/>
                <w:color w:val="000000"/>
                <w:sz w:val="32"/>
              </w:rPr>
              <w:t>产业链环节</w:t>
            </w:r>
          </w:p>
        </w:tc>
        <w:tc>
          <w:tcPr>
            <w:tcW w:type="dxa" w:w="6463"/>
          </w:tcPr>
          <w:p>
            <w:pPr>
              <w:spacing w:lineRule="exact" w:line="600"/>
              <w:jc w:val="center"/>
            </w:pPr>
            <w:r/>
            <w:r>
              <w:rPr>
                <w:rFonts w:ascii="仿宋_GB2312" w:hAnsi="仿宋_GB2312" w:eastAsia="仿宋_GB2312"/>
                <w:b w:val="0"/>
                <w:color w:val="000000"/>
                <w:sz w:val="32"/>
              </w:rPr>
              <w:t>工业泵与流体输送装备</w:t>
            </w:r>
          </w:p>
        </w:tc>
      </w:tr>
      <w:tr>
        <w:tc>
          <w:tcPr>
            <w:tcW w:type="dxa" w:w="2381"/>
          </w:tcPr>
          <w:p>
            <w:pPr>
              <w:spacing w:lineRule="exact" w:line="600"/>
              <w:jc w:val="center"/>
            </w:pPr>
            <w:r/>
            <w:r>
              <w:rPr>
                <w:rFonts w:ascii="仿宋_GB2312" w:hAnsi="仿宋_GB2312" w:eastAsia="仿宋_GB2312"/>
                <w:b w:val="0"/>
                <w:color w:val="000000"/>
                <w:sz w:val="32"/>
              </w:rPr>
              <w:t>主导产品</w:t>
            </w:r>
          </w:p>
        </w:tc>
        <w:tc>
          <w:tcPr>
            <w:tcW w:type="dxa" w:w="6463"/>
          </w:tcPr>
          <w:p>
            <w:pPr>
              <w:spacing w:lineRule="exact" w:line="600"/>
              <w:jc w:val="center"/>
            </w:pPr>
            <w:r/>
            <w:r>
              <w:rPr>
                <w:rFonts w:ascii="仿宋_GB2312" w:hAnsi="仿宋_GB2312" w:eastAsia="仿宋_GB2312"/>
                <w:b w:val="0"/>
                <w:color w:val="000000"/>
                <w:sz w:val="32"/>
              </w:rPr>
              <w:t>工业泵及流体输送系统</w:t>
            </w:r>
          </w:p>
        </w:tc>
      </w:tr>
      <w:tr>
        <w:tc>
          <w:tcPr>
            <w:tcW w:type="dxa" w:w="2381"/>
          </w:tcPr>
          <w:p>
            <w:pPr>
              <w:spacing w:lineRule="exact" w:line="600"/>
              <w:jc w:val="center"/>
            </w:pPr>
            <w:r/>
            <w:r>
              <w:rPr>
                <w:rFonts w:ascii="仿宋_GB2312" w:hAnsi="仿宋_GB2312" w:eastAsia="仿宋_GB2312"/>
                <w:b w:val="0"/>
                <w:color w:val="000000"/>
                <w:sz w:val="32"/>
              </w:rPr>
              <w:t>成立时间</w:t>
            </w:r>
          </w:p>
        </w:tc>
        <w:tc>
          <w:tcPr>
            <w:tcW w:type="dxa" w:w="6463"/>
          </w:tcPr>
          <w:p>
            <w:pPr>
              <w:spacing w:lineRule="exact" w:line="600"/>
              <w:jc w:val="center"/>
            </w:pPr>
            <w:r/>
            <w:r>
              <w:rPr>
                <w:rFonts w:ascii="仿宋_GB2312" w:hAnsi="仿宋_GB2312" w:eastAsia="仿宋_GB2312"/>
                <w:b w:val="0"/>
                <w:color w:val="000000"/>
                <w:sz w:val="32"/>
              </w:rPr>
              <w:t>本次公开渠道检索未获取，建议以工商登记及企业提供资料为准</w:t>
            </w:r>
          </w:p>
        </w:tc>
      </w:tr>
      <w:tr>
        <w:tc>
          <w:tcPr>
            <w:tcW w:type="dxa" w:w="2381"/>
          </w:tcPr>
          <w:p>
            <w:pPr>
              <w:spacing w:lineRule="exact" w:line="600"/>
              <w:jc w:val="center"/>
            </w:pPr>
            <w:r/>
            <w:r>
              <w:rPr>
                <w:rFonts w:ascii="仿宋_GB2312" w:hAnsi="仿宋_GB2312" w:eastAsia="仿宋_GB2312"/>
                <w:b w:val="0"/>
                <w:color w:val="000000"/>
                <w:sz w:val="32"/>
              </w:rPr>
              <w:t>注册资本</w:t>
            </w:r>
          </w:p>
        </w:tc>
        <w:tc>
          <w:tcPr>
            <w:tcW w:type="dxa" w:w="6463"/>
          </w:tcPr>
          <w:p>
            <w:pPr>
              <w:spacing w:lineRule="exact" w:line="600"/>
              <w:jc w:val="center"/>
            </w:pPr>
            <w:r/>
            <w:r>
              <w:rPr>
                <w:rFonts w:ascii="仿宋_GB2312" w:hAnsi="仿宋_GB2312" w:eastAsia="仿宋_GB2312"/>
                <w:b w:val="0"/>
                <w:color w:val="000000"/>
                <w:sz w:val="32"/>
              </w:rPr>
              <w:t>5000.6万元</w:t>
            </w:r>
          </w:p>
        </w:tc>
      </w:tr>
      <w:tr>
        <w:tc>
          <w:tcPr>
            <w:tcW w:type="dxa" w:w="2381"/>
          </w:tcPr>
          <w:p>
            <w:pPr>
              <w:spacing w:lineRule="exact" w:line="600"/>
              <w:jc w:val="center"/>
            </w:pPr>
            <w:r/>
            <w:r>
              <w:rPr>
                <w:rFonts w:ascii="仿宋_GB2312" w:hAnsi="仿宋_GB2312" w:eastAsia="仿宋_GB2312"/>
                <w:b w:val="0"/>
                <w:color w:val="000000"/>
                <w:sz w:val="32"/>
              </w:rPr>
              <w:t>控股股东</w:t>
            </w:r>
          </w:p>
        </w:tc>
        <w:tc>
          <w:tcPr>
            <w:tcW w:type="dxa" w:w="6463"/>
          </w:tcPr>
          <w:p>
            <w:pPr>
              <w:spacing w:lineRule="exact" w:line="600"/>
              <w:jc w:val="center"/>
            </w:pPr>
            <w:r/>
            <w:r>
              <w:rPr>
                <w:rFonts w:ascii="仿宋_GB2312" w:hAnsi="仿宋_GB2312" w:eastAsia="仿宋_GB2312"/>
                <w:b w:val="0"/>
                <w:color w:val="000000"/>
                <w:sz w:val="32"/>
              </w:rPr>
              <w:t>淄博市公有资产经营公司（100%控股）</w:t>
            </w:r>
          </w:p>
        </w:tc>
      </w:tr>
      <w:tr>
        <w:tc>
          <w:tcPr>
            <w:tcW w:type="dxa" w:w="2381"/>
          </w:tcPr>
          <w:p>
            <w:pPr>
              <w:spacing w:lineRule="exact" w:line="600"/>
              <w:jc w:val="center"/>
            </w:pPr>
            <w:r/>
            <w:r>
              <w:rPr>
                <w:rFonts w:ascii="仿宋_GB2312" w:hAnsi="仿宋_GB2312" w:eastAsia="仿宋_GB2312"/>
                <w:b w:val="0"/>
                <w:color w:val="000000"/>
                <w:sz w:val="32"/>
              </w:rPr>
              <w:t>统一社会信用代码</w:t>
            </w:r>
          </w:p>
        </w:tc>
        <w:tc>
          <w:tcPr>
            <w:tcW w:type="dxa" w:w="6463"/>
          </w:tcPr>
          <w:p>
            <w:pPr>
              <w:spacing w:lineRule="exact" w:line="600"/>
              <w:jc w:val="center"/>
            </w:pPr>
            <w:r/>
            <w:r>
              <w:rPr>
                <w:rFonts w:ascii="仿宋_GB2312" w:hAnsi="仿宋_GB2312" w:eastAsia="仿宋_GB2312"/>
                <w:b w:val="0"/>
                <w:color w:val="000000"/>
                <w:sz w:val="32"/>
              </w:rPr>
              <w:t>本次公开渠道检索未获取，建议以工商登记及企业提供资料为准</w:t>
            </w:r>
          </w:p>
        </w:tc>
      </w:tr>
    </w:tbl>
    <w:p>
      <w:pPr>
        <w:spacing w:lineRule="exact" w:line="600" w:before="0" w:after="0"/>
        <w:ind w:firstLine="420"/>
        <w:jc w:val="both"/>
      </w:pPr>
      <w:r>
        <w:rPr>
          <w:rFonts w:ascii="仿宋_GB2312" w:hAnsi="仿宋_GB2312" w:eastAsia="仿宋_GB2312"/>
          <w:b w:val="0"/>
          <w:color w:val="000000"/>
          <w:sz w:val="32"/>
        </w:rPr>
        <w:t>山东博泵科技股份有限公司位于淄博市博山区，是博山机电泵产业集群的骨干企业，注册资本5000.6万元，由淄博市公有资产经营公司100%控股，属于地方国有企业序列。公司主营工业泵及流体输送装备，是"中国泵业名城"博山的重要成员。</w:t>
      </w:r>
    </w:p>
    <w:p>
      <w:pPr>
        <w:spacing w:lineRule="exact" w:line="600" w:before="0" w:after="0"/>
        <w:ind w:firstLine="420"/>
        <w:jc w:val="both"/>
      </w:pPr>
      <w:r>
        <w:rPr>
          <w:rFonts w:ascii="仿宋_GB2312" w:hAnsi="仿宋_GB2312" w:eastAsia="仿宋_GB2312"/>
          <w:b w:val="0"/>
          <w:color w:val="000000"/>
          <w:sz w:val="32"/>
        </w:rPr>
        <w:t>在工商登记信息方面，公司成立时间、法定代表人、统一社会信用代码等基础事项以国家企业信用信息公示系统披露为准。实际开展业务时应调取营业执照、公司章程、股东名册等原件核验，并核查国资监管要求的登记事项。</w:t>
      </w:r>
    </w:p>
    <w:p>
      <w:pPr>
        <w:spacing w:lineRule="exact" w:line="600" w:before="0" w:after="0"/>
        <w:ind w:firstLine="420"/>
        <w:jc w:val="both"/>
      </w:pPr>
      <w:r>
        <w:rPr>
          <w:rFonts w:ascii="仿宋_GB2312" w:hAnsi="仿宋_GB2312" w:eastAsia="仿宋_GB2312"/>
          <w:b w:val="0"/>
          <w:color w:val="000000"/>
          <w:sz w:val="32"/>
        </w:rPr>
        <w:t>需要说明的是，上述工商登记信息以国家企业信用信息公示系统及公开信息渠道披露内容为准。开展实质性授信或投资尽职调查时，应当以企业提供的营业执照原件、公司章程、股东名册、验资或实缴凭证、不动产权证书及相关行政许可证照为核验依据，并同步核查登记事项的变更记录，重点关注注册资本实缴进度、经营范围中许可类项目的证照有效期、注册地与实际生产经营地是否一致等事项。凡本报告标注为"未公开披露"的项目，均系公开渠道未能获取，不代表企业不存在该等信息，亦不构成对企业相关状况的负面判断。</w:t>
      </w:r>
    </w:p>
    <w:p>
      <w:pPr>
        <w:spacing w:lineRule="exact" w:line="600" w:before="120" w:after="120"/>
        <w:ind w:firstLine="420"/>
        <w:jc w:val="left"/>
      </w:pPr>
      <w:r>
        <w:rPr>
          <w:rFonts w:ascii="楷体_GB2312" w:hAnsi="楷体_GB2312" w:eastAsia="楷体_GB2312"/>
          <w:b w:val="0"/>
          <w:color w:val="000000"/>
          <w:sz w:val="32"/>
        </w:rPr>
        <w:t>（二）股权结构与实际控制人</w:t>
      </w:r>
    </w:p>
    <w:p>
      <w:pPr>
        <w:spacing w:lineRule="exact" w:line="600" w:before="0" w:after="0"/>
        <w:ind w:firstLine="420"/>
        <w:jc w:val="both"/>
      </w:pPr>
      <w:r>
        <w:rPr>
          <w:rFonts w:ascii="仿宋_GB2312" w:hAnsi="仿宋_GB2312" w:eastAsia="仿宋_GB2312"/>
          <w:b w:val="0"/>
          <w:color w:val="000000"/>
          <w:sz w:val="32"/>
        </w:rPr>
        <w:t>据公开信息，博泵科技由淄博市公有资产经营公司100%控股，属于地方国有企业，国有资本的出资人代表依法履行国有资产保值增值职责，企业重大投资、重大资产处置、对外担保、领导人员选任等事项须按照国资监管相关规定履行审批或备案程序。</w:t>
      </w:r>
    </w:p>
    <w:p>
      <w:pPr>
        <w:spacing w:lineRule="exact" w:line="600" w:before="0" w:after="0"/>
        <w:ind w:firstLine="420"/>
        <w:jc w:val="both"/>
      </w:pPr>
      <w:r>
        <w:rPr>
          <w:rFonts w:ascii="仿宋_GB2312" w:hAnsi="仿宋_GB2312" w:eastAsia="仿宋_GB2312"/>
          <w:b w:val="0"/>
          <w:color w:val="000000"/>
          <w:sz w:val="32"/>
        </w:rPr>
        <w:t>从出资人属性看，公司属于地方国有企业序列，国有出资背景一方面使企业在土地、厂房等要素保障和银行信贷可得性方面具有相对优势，历史包袱处理、职工安置等方面亦有政策通道；另一方面也决定了企业在决策效率、市场化激励、混合所有制改革等方面需要持续推进机制创新。</w:t>
      </w:r>
    </w:p>
    <w:p>
      <w:pPr>
        <w:spacing w:lineRule="exact" w:line="600" w:before="0" w:after="0"/>
        <w:ind w:firstLine="420"/>
        <w:jc w:val="both"/>
      </w:pPr>
      <w:r>
        <w:rPr>
          <w:rFonts w:ascii="仿宋_GB2312" w:hAnsi="仿宋_GB2312" w:eastAsia="仿宋_GB2312"/>
          <w:b w:val="0"/>
          <w:color w:val="000000"/>
          <w:sz w:val="32"/>
        </w:rPr>
        <w:t>党的建设方面，国有企业普遍坚持"两个一以贯之"，将党的领导融入公司治理各环节。建议在尽调中调阅企业党委会、董事会、经理层议事规则及近三年重大事项决策记录。</w:t>
      </w:r>
    </w:p>
    <w:p>
      <w:pPr>
        <w:spacing w:lineRule="exact" w:line="600" w:before="0" w:after="0"/>
        <w:ind w:firstLine="420"/>
        <w:jc w:val="both"/>
      </w:pPr>
      <w:r>
        <w:rPr>
          <w:rFonts w:ascii="仿宋_GB2312" w:hAnsi="仿宋_GB2312" w:eastAsia="仿宋_GB2312"/>
          <w:b w:val="0"/>
          <w:color w:val="000000"/>
          <w:sz w:val="32"/>
        </w:rPr>
        <w:t>从出资人属性看，博泵科技属于地方国有企业序列，国有资本的出资人代表依法履行国有资产保值增值职责，企业重大投资、重大资产处置、对外担保、领导人员选任等事项须按照国资监管相关规定履行审批或备案程序。国有出资背景一方面使企业在土地、厂房等要素保障和银行信贷可得性方面具有相对优势，历史包袱处理、职工安置等方面亦有政策通道；另一方面也决定了企业在决策效率、市场化激励、混合所有制改革等方面需要持续推进机制创新。金融机构在评估该类企业时，除考察其自身现金流与资产状况外，还应关注国资出资人的层级、实际支持意愿与方式，避免将出资人信用简单等同于企业信用。</w:t>
      </w:r>
    </w:p>
    <w:p>
      <w:pPr>
        <w:spacing w:lineRule="exact" w:line="600" w:before="0" w:after="0"/>
        <w:ind w:firstLine="420"/>
        <w:jc w:val="both"/>
      </w:pPr>
      <w:r>
        <w:rPr>
          <w:rFonts w:ascii="仿宋_GB2312" w:hAnsi="仿宋_GB2312" w:eastAsia="仿宋_GB2312"/>
          <w:b w:val="0"/>
          <w:color w:val="000000"/>
          <w:sz w:val="32"/>
        </w:rPr>
        <w:t>党的建设方面，国有企业普遍坚持"两个一以贯之"，将党的领导融入公司治理各环节，通过党委（党组）前置研究讨论重大经营管理事项，把方向、管大局、保落实。基层党组织在生产一线设立党支部、党小组，开展党员攻关、技术比武、安全生产责任落实等活动，把党建优势转化为技术攻关和市场开拓的组织优势。建议在尽调中调阅企业党委会、董事会、经理层议事规则及近三年重大事项决策记录，判断治理运行的规范性与决策留痕的完整性。</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博泵科技的发展与博山区"中国泵业名城"的产业积淀深度绑定。博山区机电泵产业规模超百亿元，规上机电泵企业2024年营收40亿元、同比+8%，生产及配套企业近2000家、占全市85%，产业工人4万余人。公司依托这一深厚的产业生态成长，构建起工业泵及流体输送装备的研发制造能力。</w:t>
      </w:r>
    </w:p>
    <w:p>
      <w:pPr>
        <w:spacing w:lineRule="exact" w:line="600" w:before="0" w:after="0"/>
        <w:ind w:firstLine="420"/>
        <w:jc w:val="both"/>
      </w:pPr>
      <w:r>
        <w:rPr>
          <w:rFonts w:ascii="仿宋_GB2312" w:hAnsi="仿宋_GB2312" w:eastAsia="仿宋_GB2312"/>
          <w:b w:val="0"/>
          <w:color w:val="000000"/>
          <w:sz w:val="32"/>
        </w:rPr>
        <w:t>在战略端，公司作为地方国企控股的骨干企业，是博山泵阀产业梯度培育体系（创新型中小企业—专精特新—小巨人—单项冠军）的重要成员，承担带动上下游企业向产业链高端延伸的职责。这一沿革表明公司成长源于产业集群协同与国资支撑，可持续性较好。</w:t>
      </w:r>
    </w:p>
    <w:p>
      <w:pPr>
        <w:spacing w:lineRule="exact" w:line="600" w:before="0" w:after="0"/>
        <w:ind w:firstLine="420"/>
        <w:jc w:val="both"/>
      </w:pPr>
      <w:r>
        <w:rPr>
          <w:rFonts w:ascii="仿宋_GB2312" w:hAnsi="仿宋_GB2312" w:eastAsia="仿宋_GB2312"/>
          <w:b w:val="0"/>
          <w:color w:val="000000"/>
          <w:sz w:val="32"/>
        </w:rPr>
        <w:t>总体看，博泵科技的发展轨迹与高端装备与精密仪器仪表行业演进和淄博市博山区机电泵特色产业集群的成长过程高度耦合。企业在不同阶段的关键跃升，一般由三类因素共同驱动：一是产品与工艺技术的迭代，使其突破产能与品质天花板；二是重大客户或重大项目的获取，带来规模效应和现金流改善；三是园区（集群）基础设施、要素保障与政策支持的外部赋能。梳理沿革的意义在于判断企业成长的可持续性——若历史增长主要依赖单一客户、单一政策或一次性资源禀赋，其未来增长的稳健性需要打折；若增长源于持续的技术积累与客户结构优化，则更具韧性。</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从产业链定位看，公司处于工业泵与流体输送装备环节，为石化、电力、冶金、环保等行业提供泵类产品，是博山机电泵产业集群的骨干企业与国资代表。</w:t>
      </w:r>
    </w:p>
    <w:p>
      <w:pPr>
        <w:spacing w:lineRule="exact" w:line="600" w:before="0" w:after="0"/>
        <w:ind w:firstLine="420"/>
        <w:jc w:val="both"/>
      </w:pPr>
      <w:r>
        <w:rPr>
          <w:rFonts w:ascii="仿宋_GB2312" w:hAnsi="仿宋_GB2312" w:eastAsia="仿宋_GB2312"/>
          <w:b w:val="0"/>
          <w:color w:val="000000"/>
          <w:sz w:val="32"/>
        </w:rPr>
        <w:t>公司作为地方国企控股骨干，在区域产业链中具有"稳定器"与"带动者"双重角色。其具体市场份额数据未公开披露，建议通过行业协会与下游客户采购情况交叉验证。</w:t>
      </w:r>
    </w:p>
    <w:p>
      <w:pPr>
        <w:spacing w:lineRule="exact" w:line="600" w:before="0" w:after="0"/>
        <w:ind w:firstLine="420"/>
        <w:jc w:val="both"/>
      </w:pPr>
      <w:r>
        <w:rPr>
          <w:rFonts w:ascii="仿宋_GB2312" w:hAnsi="仿宋_GB2312" w:eastAsia="仿宋_GB2312"/>
          <w:b w:val="0"/>
          <w:color w:val="000000"/>
          <w:sz w:val="32"/>
        </w:rPr>
        <w:t>在淄博市博山区机电泵特色产业集群的产业链分工中，博泵科技处于"工业泵与流体输送装备"环节，其战略价值不仅体现为自身的产值与税收贡献，更体现为对上下游的带动与配套能力。产业集群竞争力的核心在于链条完整度与协同效率，处于关键环节的企业一旦形成稳定供给能力，可显著降低集群内企业的采购半径、库存水平与物流成本，进而提升整个集群的成本竞争力。因此，对该类企业的支持具有超出单体的外部效应，这也是产业金融在集群场景下开展批量化、场景化服务的基本逻辑。</w:t>
      </w:r>
    </w:p>
    <w:p>
      <w:pPr>
        <w:spacing w:lineRule="exact" w:line="600" w:before="120" w:after="120"/>
        <w:ind w:firstLine="420"/>
        <w:jc w:val="left"/>
      </w:pPr>
      <w:r>
        <w:rPr>
          <w:rFonts w:ascii="黑体" w:hAnsi="黑体" w:eastAsia="黑体"/>
          <w:b w:val="0"/>
          <w:color w:val="000000"/>
          <w:sz w:val="32"/>
        </w:rPr>
        <w:t>二、业务层面分析</w:t>
      </w:r>
    </w:p>
    <w:p>
      <w:pPr>
        <w:spacing w:lineRule="exact" w:line="600" w:before="120" w:after="120"/>
        <w:ind w:firstLine="420"/>
        <w:jc w:val="left"/>
      </w:pPr>
      <w:r>
        <w:rPr>
          <w:rFonts w:ascii="楷体_GB2312" w:hAnsi="楷体_GB2312" w:eastAsia="楷体_GB2312"/>
          <w:b w:val="0"/>
          <w:color w:val="000000"/>
          <w:sz w:val="32"/>
        </w:rPr>
        <w:t>（一）业务与产品结构</w:t>
      </w:r>
    </w:p>
    <w:p>
      <w:pPr>
        <w:spacing w:lineRule="exact" w:line="600" w:before="0" w:after="0"/>
        <w:ind w:firstLine="420"/>
        <w:jc w:val="both"/>
      </w:pPr>
      <w:r>
        <w:rPr>
          <w:rFonts w:ascii="仿宋_GB2312" w:hAnsi="仿宋_GB2312" w:eastAsia="仿宋_GB2312"/>
          <w:b w:val="0"/>
          <w:color w:val="000000"/>
          <w:sz w:val="32"/>
        </w:rPr>
        <w:t>公司业务以工业泵及流体输送系统为核心，产品应用于石化、电力、冶金、环保等领域。作为博山泵阀产业骨干，其产品谱系覆盖通用与专用泵型。</w:t>
      </w:r>
    </w:p>
    <w:p>
      <w:pPr>
        <w:spacing w:lineRule="exact" w:line="600" w:before="0" w:after="0"/>
        <w:ind w:firstLine="420"/>
        <w:jc w:val="both"/>
      </w:pPr>
      <w:r>
        <w:rPr>
          <w:rFonts w:ascii="仿宋_GB2312" w:hAnsi="仿宋_GB2312" w:eastAsia="仿宋_GB2312"/>
          <w:b w:val="0"/>
          <w:color w:val="000000"/>
          <w:sz w:val="32"/>
        </w:rPr>
        <w:t>各产品线的销量、单价与毛利率数据未公开披露，建议在尽调中重点获取分产品财务序列。</w:t>
      </w:r>
    </w:p>
    <w:p>
      <w:pPr>
        <w:spacing w:lineRule="exact" w:line="600" w:before="0" w:after="0"/>
        <w:ind w:firstLine="420"/>
        <w:jc w:val="both"/>
      </w:pPr>
      <w:r>
        <w:rPr>
          <w:rFonts w:ascii="仿宋_GB2312" w:hAnsi="仿宋_GB2312" w:eastAsia="仿宋_GB2312"/>
          <w:b w:val="0"/>
          <w:color w:val="000000"/>
          <w:sz w:val="32"/>
        </w:rPr>
        <w:t>从业务结构的稳健性看，评价博泵科技需要关注三个维度：一是收入集中度，即前若干产品或业务贡献收入的比例，集中度过高意味着单一品类波动会直接冲击整体业绩；二是产品梯次，即是否形成"现金牛产品—成长产品—储备产品"的接续结构，避免出现主导产品进入衰退期而后续无接替品种的断档；三是附加值分布，即高毛利品种在收入与毛利中的占比，决定企业穿越价格周期的能力。建议在后续尽调中获取企业分产品的销量、单价、毛利率三年序列数据，以判断上述结构性特征。</w:t>
      </w:r>
    </w:p>
    <w:p>
      <w:pPr>
        <w:spacing w:lineRule="exact" w:line="600" w:before="120" w:after="120"/>
        <w:ind w:firstLine="420"/>
        <w:jc w:val="left"/>
      </w:pPr>
      <w:r>
        <w:rPr>
          <w:rFonts w:ascii="楷体_GB2312" w:hAnsi="楷体_GB2312" w:eastAsia="楷体_GB2312"/>
          <w:b w:val="0"/>
          <w:color w:val="000000"/>
          <w:sz w:val="32"/>
        </w:rPr>
        <w:t>（二）产能布局与资质许可</w:t>
      </w:r>
    </w:p>
    <w:p>
      <w:pPr>
        <w:spacing w:lineRule="exact" w:line="600" w:before="0" w:after="0"/>
        <w:ind w:firstLine="420"/>
        <w:jc w:val="both"/>
      </w:pPr>
      <w:r>
        <w:rPr>
          <w:rFonts w:ascii="仿宋_GB2312" w:hAnsi="仿宋_GB2312" w:eastAsia="仿宋_GB2312"/>
          <w:b w:val="0"/>
          <w:color w:val="000000"/>
          <w:sz w:val="32"/>
        </w:rPr>
        <w:t>公司产能布局集中于博山区机电泵产业园区，享受园区集中供热、检验检测（国家泵类产品质量检验中心就近）、公共服务平台等配套。装备制造企业"产能"表现为装配与检测工位、精密加工设备台套数，瓶颈在关键零部件与精密加工能力。</w:t>
      </w:r>
    </w:p>
    <w:p>
      <w:pPr>
        <w:spacing w:lineRule="exact" w:line="600" w:before="0" w:after="0"/>
        <w:ind w:firstLine="420"/>
        <w:jc w:val="both"/>
      </w:pPr>
      <w:r>
        <w:rPr>
          <w:rFonts w:ascii="仿宋_GB2312" w:hAnsi="仿宋_GB2312" w:eastAsia="仿宋_GB2312"/>
          <w:b w:val="0"/>
          <w:color w:val="000000"/>
          <w:sz w:val="32"/>
        </w:rPr>
        <w:t>资质方面，公司须取得制造计量器具许可、CNAS实验室认可、行业客户合格供应商资格及特种设备相关许可。具体证照与有效期未公开披露，建议逐项核查。</w:t>
      </w:r>
    </w:p>
    <w:p>
      <w:pPr>
        <w:spacing w:lineRule="exact" w:line="600" w:before="0" w:after="0"/>
        <w:ind w:firstLine="420"/>
        <w:jc w:val="both"/>
      </w:pPr>
      <w:r>
        <w:rPr>
          <w:rFonts w:ascii="仿宋_GB2312" w:hAnsi="仿宋_GB2312" w:eastAsia="仿宋_GB2312"/>
          <w:b w:val="0"/>
          <w:color w:val="000000"/>
          <w:sz w:val="32"/>
        </w:rPr>
        <w:t>装备与仪器仪表行业的产能表现为装配与检测工位、精密加工设备台套数及恒温恒湿计量环境等物理条件，其瓶颈环节往往不在总装而在关键零部件、精密加工与计量校准能力。行业普遍采用"以销定产"模式，在手订单与交付周期是判断产能利用状况的关键指标。资质方面，计量器具型式批准、制造计量器具许可、CNAS实验室认可、CE/UL等出口认证以及行业客户的合格供应商资格构成实质性准入门槛，建议逐项核查其覆盖范围与有效期。</w:t>
      </w:r>
    </w:p>
    <w:p>
      <w:pPr>
        <w:spacing w:lineRule="exact" w:line="600" w:before="120" w:after="120"/>
        <w:ind w:firstLine="420"/>
        <w:jc w:val="left"/>
      </w:pPr>
      <w:r>
        <w:rPr>
          <w:rFonts w:ascii="楷体_GB2312" w:hAnsi="楷体_GB2312" w:eastAsia="楷体_GB2312"/>
          <w:b w:val="0"/>
          <w:color w:val="000000"/>
          <w:sz w:val="32"/>
        </w:rPr>
        <w:t>（三）客户结构与销售模式</w:t>
      </w:r>
    </w:p>
    <w:p>
      <w:pPr>
        <w:spacing w:lineRule="exact" w:line="600" w:before="0" w:after="0"/>
        <w:ind w:firstLine="420"/>
        <w:jc w:val="both"/>
      </w:pPr>
      <w:r>
        <w:rPr>
          <w:rFonts w:ascii="仿宋_GB2312" w:hAnsi="仿宋_GB2312" w:eastAsia="仿宋_GB2312"/>
          <w:b w:val="0"/>
          <w:color w:val="000000"/>
          <w:sz w:val="32"/>
        </w:rPr>
        <w:t>公司客户主要为石化、电力、冶金、环保等行业的设备使用方与工程公司，客户信用状况较好但账期较长。</w:t>
      </w:r>
    </w:p>
    <w:p>
      <w:pPr>
        <w:spacing w:lineRule="exact" w:line="600" w:before="0" w:after="0"/>
        <w:ind w:firstLine="420"/>
        <w:jc w:val="both"/>
      </w:pPr>
      <w:r>
        <w:rPr>
          <w:rFonts w:ascii="仿宋_GB2312" w:hAnsi="仿宋_GB2312" w:eastAsia="仿宋_GB2312"/>
          <w:b w:val="0"/>
          <w:color w:val="000000"/>
          <w:sz w:val="32"/>
        </w:rPr>
        <w:t>公司前五大客户名称、销售金额、账期及应收账款账龄结构未公开披露。建议重点关注客户集中度与回款质量。</w:t>
      </w:r>
    </w:p>
    <w:p>
      <w:pPr>
        <w:spacing w:lineRule="exact" w:line="600" w:before="0" w:after="0"/>
        <w:ind w:firstLine="420"/>
        <w:jc w:val="both"/>
      </w:pPr>
      <w:r>
        <w:rPr>
          <w:rFonts w:ascii="仿宋_GB2312" w:hAnsi="仿宋_GB2312" w:eastAsia="仿宋_GB2312"/>
          <w:b w:val="0"/>
          <w:color w:val="000000"/>
          <w:sz w:val="32"/>
        </w:rPr>
        <w:t>客户结构是判断博泵科技经营质量与应收账款风险的核心变量。一般而言，客户结构可分为三类：一是以大型央国企、上市公司为主的客户群，其信用等级高、回款相对确定，但账期长、议价能力强，易形成应收账款与票据的规模沉淀；二是以经销商、贸易商为主的客户群，回款速度快、多采用预收或现款现货，但需承担渠道库存波动与串货风险；三是以中小终端客户为主的客户群，单笔金额小、数量分散，信用风险分散但管理成本高。建议获取企业前五大及前十大客户名单、销售额、账期与近三年回款记录，并结合应收账款账龄结构交叉验证。</w:t>
      </w:r>
    </w:p>
    <w:p>
      <w:pPr>
        <w:spacing w:lineRule="exact" w:line="600" w:before="120" w:after="120"/>
        <w:ind w:firstLine="420"/>
        <w:jc w:val="left"/>
      </w:pPr>
      <w:r>
        <w:rPr>
          <w:rFonts w:ascii="楷体_GB2312" w:hAnsi="楷体_GB2312" w:eastAsia="楷体_GB2312"/>
          <w:b w:val="0"/>
          <w:color w:val="000000"/>
          <w:sz w:val="32"/>
        </w:rPr>
        <w:t>（四）供应链与采购管理</w:t>
      </w:r>
    </w:p>
    <w:p>
      <w:pPr>
        <w:spacing w:lineRule="exact" w:line="600" w:before="0" w:after="0"/>
        <w:ind w:firstLine="420"/>
        <w:jc w:val="both"/>
      </w:pPr>
      <w:r>
        <w:rPr>
          <w:rFonts w:ascii="仿宋_GB2312" w:hAnsi="仿宋_GB2312" w:eastAsia="仿宋_GB2312"/>
          <w:b w:val="0"/>
          <w:color w:val="000000"/>
          <w:sz w:val="32"/>
        </w:rPr>
        <w:t>公司主要原料与部件包括铸件、电机、密封件、控制系统等，博山本地铸件与机加工配套完善（1300余家配套企业），可在一定程度上降低采购与物流成本。</w:t>
      </w:r>
    </w:p>
    <w:p>
      <w:pPr>
        <w:spacing w:lineRule="exact" w:line="600" w:before="0" w:after="0"/>
        <w:ind w:firstLine="420"/>
        <w:jc w:val="both"/>
      </w:pPr>
      <w:r>
        <w:rPr>
          <w:rFonts w:ascii="仿宋_GB2312" w:hAnsi="仿宋_GB2312" w:eastAsia="仿宋_GB2312"/>
          <w:b w:val="0"/>
          <w:color w:val="000000"/>
          <w:sz w:val="32"/>
        </w:rPr>
        <w:t>主要供应商名单、采购集中度与库存周转未公开披露。建议核查关键零部件的供应安全与备选方案。</w:t>
      </w:r>
    </w:p>
    <w:p>
      <w:pPr>
        <w:spacing w:lineRule="exact" w:line="600" w:before="0" w:after="0"/>
        <w:ind w:firstLine="420"/>
        <w:jc w:val="both"/>
      </w:pPr>
      <w:r>
        <w:rPr>
          <w:rFonts w:ascii="仿宋_GB2312" w:hAnsi="仿宋_GB2312" w:eastAsia="仿宋_GB2312"/>
          <w:b w:val="0"/>
          <w:color w:val="000000"/>
          <w:sz w:val="32"/>
        </w:rPr>
        <w:t>装备与仪器企业的供应链风险集中于高精度传感器、光栅与编码器、专用芯片、精密导轨与轴承、伺服系统等关键件，部分品类仍以进口为主，存在交付周期长、价格刚性、受出口管制影响等问题。应对策略包括建立关键件安全库存、推进国产替代验证、与核心供应商签订长期供货协议、必要时向上游延伸自制。建议核查关键零部件清单、进口占比、备选供应商认证进度及在手订单的交付保障能力。</w:t>
      </w:r>
    </w:p>
    <w:p>
      <w:pPr>
        <w:spacing w:lineRule="exact" w:line="600" w:before="120" w:after="120"/>
        <w:ind w:firstLine="420"/>
        <w:jc w:val="left"/>
      </w:pPr>
      <w:r>
        <w:rPr>
          <w:rFonts w:ascii="楷体_GB2312" w:hAnsi="楷体_GB2312" w:eastAsia="楷体_GB2312"/>
          <w:b w:val="0"/>
          <w:color w:val="000000"/>
          <w:sz w:val="32"/>
        </w:rPr>
        <w:t>（五）市场地位与竞争格局</w:t>
      </w:r>
    </w:p>
    <w:p>
      <w:pPr>
        <w:spacing w:lineRule="exact" w:line="600" w:before="0" w:after="0"/>
        <w:ind w:firstLine="420"/>
        <w:jc w:val="both"/>
      </w:pPr>
      <w:r>
        <w:rPr>
          <w:rFonts w:ascii="仿宋_GB2312" w:hAnsi="仿宋_GB2312" w:eastAsia="仿宋_GB2312"/>
          <w:b w:val="0"/>
          <w:color w:val="000000"/>
          <w:sz w:val="32"/>
        </w:rPr>
        <w:t>据公开数据，博山区机电泵产业规模超百亿元，规上机电泵企业2024年营收40亿元、同比+8%，省级以上专精特新/单项冠军企业16家。博泵科技为其中国资骨干。</w:t>
      </w:r>
    </w:p>
    <w:p>
      <w:pPr>
        <w:spacing w:lineRule="exact" w:line="600" w:before="0" w:after="0"/>
        <w:ind w:firstLine="420"/>
        <w:jc w:val="both"/>
      </w:pPr>
      <w:r>
        <w:rPr>
          <w:rFonts w:ascii="仿宋_GB2312" w:hAnsi="仿宋_GB2312" w:eastAsia="仿宋_GB2312"/>
          <w:b w:val="0"/>
          <w:color w:val="000000"/>
          <w:sz w:val="32"/>
        </w:rPr>
        <w:t>竞争格局方面，工业泵市场参与者众多、竞争充分，博泵科技依托国资背景与产业集群配套具备一定优势，但需以产品差异化与服务质量维持地位。</w:t>
      </w:r>
    </w:p>
    <w:p>
      <w:pPr>
        <w:spacing w:lineRule="exact" w:line="600" w:before="0" w:after="0"/>
        <w:ind w:firstLine="420"/>
        <w:jc w:val="both"/>
      </w:pPr>
      <w:r>
        <w:rPr>
          <w:rFonts w:ascii="仿宋_GB2312" w:hAnsi="仿宋_GB2312" w:eastAsia="仿宋_GB2312"/>
          <w:b w:val="0"/>
          <w:color w:val="000000"/>
          <w:sz w:val="32"/>
        </w:rPr>
        <w:t>判断博泵科技市场地位的可靠方法是"三重交叉验证"：一是产量或销量口径的份额，来源于行业协会统计年报或权威咨询机构数据；二是客户口径的份额，即在核心客户采购总量中的占比及供应商分级评价结果；三是价格口径的验证，即企业产品价格相对行业均价的溢价或折价水平，溢价能力是市场地位最真实的体现。凡仅有企业自述而缺乏第三方口径支撑的份额数据，在授信决策中应审慎使用。</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jc w:val="left"/>
      </w:pPr>
      <w:r>
        <w:rPr>
          <w:rFonts w:ascii="仿宋_GB2312" w:hAnsi="仿宋_GB2312" w:eastAsia="仿宋_GB2312"/>
          <w:b w:val="0"/>
          <w:color w:val="000000"/>
          <w:sz w:val="28"/>
        </w:rPr>
        <w:t>说明：截至本报告编制时，该企业财务数据未公开披露。本部分不列示未经核实的财务数字，仅就可获取的经营规模类替代指标进行分析，并提出财务尽职调查要点。</w:t>
      </w:r>
    </w:p>
    <w:p>
      <w:pPr>
        <w:spacing w:lineRule="exact" w:line="600" w:before="0" w:after="0"/>
        <w:ind w:firstLine="420"/>
        <w:jc w:val="both"/>
      </w:pPr>
      <w:r>
        <w:rPr>
          <w:rFonts w:ascii="仿宋_GB2312" w:hAnsi="仿宋_GB2312" w:eastAsia="仿宋_GB2312"/>
          <w:b w:val="0"/>
          <w:color w:val="000000"/>
          <w:sz w:val="32"/>
        </w:rPr>
        <w:t>公司为非上市企业，其资产负债表、利润表、现金流量表及审计报告未在公开渠道披露，财务数据未公开披露。可获取的替代指标为：注册资本5000.6万元、淄博市公有资产经营公司100%控股、博山区机电泵产业规模超百亿元且规上企业营收40亿元（同比+8%）。</w:t>
      </w:r>
    </w:p>
    <w:p>
      <w:pPr>
        <w:spacing w:lineRule="exact" w:line="600" w:before="0" w:after="0"/>
        <w:ind w:firstLine="420"/>
        <w:jc w:val="both"/>
      </w:pPr>
      <w:r>
        <w:rPr>
          <w:rFonts w:ascii="仿宋_GB2312" w:hAnsi="仿宋_GB2312" w:eastAsia="仿宋_GB2312"/>
          <w:b w:val="0"/>
          <w:color w:val="000000"/>
          <w:sz w:val="32"/>
        </w:rPr>
        <w:t>依据上述替代指标可作初步判断：一是公司作为地方国企控股骨干，资本实力与信用背书较好；二是身处超百亿高增长产业集群，订单基础较好；三是具体经营规模与盈利需以企业一手财务资料为准。</w:t>
      </w:r>
    </w:p>
    <w:p>
      <w:pPr>
        <w:spacing w:lineRule="exact" w:line="600" w:before="0" w:after="0"/>
        <w:ind w:firstLine="420"/>
        <w:jc w:val="both"/>
      </w:pPr>
      <w:r>
        <w:rPr>
          <w:rFonts w:ascii="仿宋_GB2312" w:hAnsi="仿宋_GB2312" w:eastAsia="仿宋_GB2312"/>
          <w:b w:val="0"/>
          <w:color w:val="000000"/>
          <w:sz w:val="32"/>
        </w:rPr>
        <w:t>博泵科技为非上市且未发行公开债券的企业，依法无强制信息披露义务，其资产负债表、利润表、现金流量表及审计报告未在公开渠道披露。按照数据真实性原则，本报告不对其营业收入、净利润、资产负债率、经营性现金流等指标进行推测或估算。在实际业务中，应通过企业直接提供的近三年审计报告（含附注）、纳税申报表、银行流水、增值税发票数据、征信报告等一手资料，完成财务分析与交叉验证。</w:t>
      </w:r>
    </w:p>
    <w:p>
      <w:pPr>
        <w:spacing w:lineRule="exact" w:line="600" w:before="0" w:after="0"/>
        <w:ind w:firstLine="420"/>
        <w:jc w:val="both"/>
      </w:pPr>
      <w:r>
        <w:rPr>
          <w:rFonts w:ascii="仿宋_GB2312" w:hAnsi="仿宋_GB2312" w:eastAsia="仿宋_GB2312"/>
          <w:b w:val="0"/>
          <w:color w:val="000000"/>
          <w:sz w:val="32"/>
        </w:rPr>
        <w:t>在缺少完整报表的情况下，可依托以下替代指标形成初步判断：一是产能与产量数据，结合行业公开价格测算收入量级；二是社保参保人数与人均产值，判断劳动生产率与人力成本压力；三是用电量、蒸汽用量等能耗数据，反映实际开工负荷；四是纳税与利税信息，反映盈利与贡献水平；五是不动产权属、设备台套数与固定资产投资规模，反映资产实力；六是征信记录中的融资余额、担保情况与逾期记录，反映债务负担与信用历史。上述替代指标虽不能取代报表，但可为判断企业真实经营状况提供有效印证。</w:t>
      </w:r>
    </w:p>
    <w:p>
      <w:pPr>
        <w:spacing w:lineRule="exact" w:line="600" w:before="120" w:after="120"/>
        <w:ind w:firstLine="420"/>
        <w:jc w:val="left"/>
      </w:pPr>
      <w:r>
        <w:rPr>
          <w:rFonts w:ascii="楷体_GB2312" w:hAnsi="楷体_GB2312" w:eastAsia="楷体_GB2312"/>
          <w:b w:val="0"/>
          <w:color w:val="000000"/>
          <w:sz w:val="32"/>
        </w:rPr>
        <w:t>（二）盈利能力分析</w:t>
      </w:r>
    </w:p>
    <w:p>
      <w:pPr>
        <w:spacing w:lineRule="exact" w:line="600" w:before="0" w:after="0"/>
        <w:ind w:firstLine="420"/>
        <w:jc w:val="both"/>
      </w:pPr>
      <w:r>
        <w:rPr>
          <w:rFonts w:ascii="仿宋_GB2312" w:hAnsi="仿宋_GB2312" w:eastAsia="仿宋_GB2312"/>
          <w:b w:val="0"/>
          <w:color w:val="000000"/>
          <w:sz w:val="32"/>
        </w:rPr>
        <w:t>公司具体盈利水平未公开披露。从行业规律看，工业泵企业的毛利率取决于产品技术含量与附加值。博泵科技依托国资背景与集群配套，具备一定成本与渠道优势，但需以规模与产品升级支撑盈利稳定性。</w:t>
      </w:r>
    </w:p>
    <w:p>
      <w:pPr>
        <w:spacing w:lineRule="exact" w:line="600" w:before="0" w:after="0"/>
        <w:ind w:firstLine="420"/>
        <w:jc w:val="both"/>
      </w:pPr>
      <w:r>
        <w:rPr>
          <w:rFonts w:ascii="仿宋_GB2312" w:hAnsi="仿宋_GB2312" w:eastAsia="仿宋_GB2312"/>
          <w:b w:val="0"/>
          <w:color w:val="000000"/>
          <w:sz w:val="32"/>
        </w:rPr>
        <w:t>装备与仪器仪表企业的毛利率通常高于一般制造业，其盈利水平主要取决于技术门槛、品牌溢价与服务收入占比。分析要点包括：一是收入结构中设备销售、备件与服务、软件授权的比例，后两者毛利率更高、周期性更弱，是平滑业绩的关键；二是研发费用的资本化政策及其对当期利润的影响；三是大项目验收节点对收入确认的影响，易造成季度间业绩波动；四是政府补助、税收优惠在利润总额中的占比，判断扣非后的真实盈利能力。</w:t>
      </w:r>
    </w:p>
    <w:p>
      <w:pPr>
        <w:spacing w:lineRule="exact" w:line="600" w:before="120" w:after="120"/>
        <w:ind w:firstLine="420"/>
        <w:jc w:val="left"/>
      </w:pPr>
      <w:r>
        <w:rPr>
          <w:rFonts w:ascii="楷体_GB2312" w:hAnsi="楷体_GB2312" w:eastAsia="楷体_GB2312"/>
          <w:b w:val="0"/>
          <w:color w:val="000000"/>
          <w:sz w:val="32"/>
        </w:rPr>
        <w:t>（三）资产质量与运营效率</w:t>
      </w:r>
    </w:p>
    <w:p>
      <w:pPr>
        <w:spacing w:lineRule="exact" w:line="600" w:before="0" w:after="0"/>
        <w:ind w:firstLine="420"/>
        <w:jc w:val="both"/>
      </w:pPr>
      <w:r>
        <w:rPr>
          <w:rFonts w:ascii="仿宋_GB2312" w:hAnsi="仿宋_GB2312" w:eastAsia="仿宋_GB2312"/>
          <w:b w:val="0"/>
          <w:color w:val="000000"/>
          <w:sz w:val="32"/>
        </w:rPr>
        <w:t>公司资产结构未公开披露。装备制造企业资产以固定资产（加工设备）、在建工程及存货（铸件与在制设备）为主。建议核查应收账款账龄、存货周转及固定资产成新率。</w:t>
      </w:r>
    </w:p>
    <w:p>
      <w:pPr>
        <w:spacing w:lineRule="exact" w:line="600" w:before="0" w:after="0"/>
        <w:ind w:firstLine="420"/>
        <w:jc w:val="both"/>
      </w:pPr>
      <w:r>
        <w:rPr>
          <w:rFonts w:ascii="仿宋_GB2312" w:hAnsi="仿宋_GB2312" w:eastAsia="仿宋_GB2312"/>
          <w:b w:val="0"/>
          <w:color w:val="000000"/>
          <w:sz w:val="32"/>
        </w:rPr>
        <w:t>资产质量分析应聚焦四类科目：一是应收账款与应收票据，关注账龄结构、坏账计提政策与集中度，特别警惕长账龄款项长期挂账不予核销的情形；二是存货，关注原材料、在产品、库存商品的构成与周转天数，判断是否存在滞销与跌价压力；三是固定资产与在建工程，关注在建工程转固的及时性，长期挂账的在建工程可能隐藏减值或资本化利息问题；四是其他应收款与预付款项，关注是否存在关联方资金占用。运营效率方面，应计算存货周转天数、应收账款周转天数与应付账款周转天数，进而得出现金转换周期，该指标直接决定营运资金需求规模，也是设计供应链金融方案的量化基础。</w:t>
      </w:r>
    </w:p>
    <w:p>
      <w:pPr>
        <w:spacing w:lineRule="exact" w:line="600" w:before="120" w:after="120"/>
        <w:ind w:firstLine="420"/>
        <w:jc w:val="left"/>
      </w:pPr>
      <w:r>
        <w:rPr>
          <w:rFonts w:ascii="楷体_GB2312" w:hAnsi="楷体_GB2312" w:eastAsia="楷体_GB2312"/>
          <w:b w:val="0"/>
          <w:color w:val="000000"/>
          <w:sz w:val="32"/>
        </w:rPr>
        <w:t>（四）负债结构与偿债能力</w:t>
      </w:r>
    </w:p>
    <w:p>
      <w:pPr>
        <w:spacing w:lineRule="exact" w:line="600" w:before="0" w:after="0"/>
        <w:ind w:firstLine="420"/>
        <w:jc w:val="both"/>
      </w:pPr>
      <w:r>
        <w:rPr>
          <w:rFonts w:ascii="仿宋_GB2312" w:hAnsi="仿宋_GB2312" w:eastAsia="仿宋_GB2312"/>
          <w:b w:val="0"/>
          <w:color w:val="000000"/>
          <w:sz w:val="32"/>
        </w:rPr>
        <w:t>公司负债结构未公开披露。作为地方国企控股企业，其银行信贷可得性较好，但需关注国资监管对负债率的约束。建议核查授信品种、期限结构、抵质押安排及关联担保情况。</w:t>
      </w:r>
    </w:p>
    <w:p>
      <w:pPr>
        <w:spacing w:lineRule="exact" w:line="600" w:before="0" w:after="0"/>
        <w:ind w:firstLine="420"/>
        <w:jc w:val="both"/>
      </w:pPr>
      <w:r>
        <w:rPr>
          <w:rFonts w:ascii="仿宋_GB2312" w:hAnsi="仿宋_GB2312" w:eastAsia="仿宋_GB2312"/>
          <w:b w:val="0"/>
          <w:color w:val="000000"/>
          <w:sz w:val="32"/>
        </w:rPr>
        <w:t>负债分析需区分有息债务与经营性负债。经营性负债（应付账款、应付票据、预收款项）本质上是上下游提供的无息资金，占比高往往体现企业的产业链话语权；有息债务则直接形成财务费用与刚性偿付压力。评价博泵科技偿债能力应关注：一是资产负债率与净负债率水平，及其与同行业中位数的比较；二是有息债务的期限结构，短期借款占比过高会造成"短贷长投"的期限错配，在信贷收缩期极易引发流动性危机；三是利息保障倍数，即息税前利润对利息支出的覆盖程度；四是对外担保与或有负债，包括互保、连环保、票据贴现追索等表外风险；五是受限资产比例，抵质押率过高将削弱新增融资空间与风险缓释能力。</w:t>
      </w:r>
    </w:p>
    <w:p>
      <w:pPr>
        <w:spacing w:lineRule="exact" w:line="600" w:before="120" w:after="120"/>
        <w:ind w:firstLine="420"/>
        <w:jc w:val="left"/>
      </w:pPr>
      <w:r>
        <w:rPr>
          <w:rFonts w:ascii="楷体_GB2312" w:hAnsi="楷体_GB2312" w:eastAsia="楷体_GB2312"/>
          <w:b w:val="0"/>
          <w:color w:val="000000"/>
          <w:sz w:val="32"/>
        </w:rPr>
        <w:t>（五）现金流量分析</w:t>
      </w:r>
    </w:p>
    <w:p>
      <w:pPr>
        <w:spacing w:lineRule="exact" w:line="600" w:before="0" w:after="0"/>
        <w:ind w:firstLine="420"/>
        <w:jc w:val="both"/>
      </w:pPr>
      <w:r>
        <w:rPr>
          <w:rFonts w:ascii="仿宋_GB2312" w:hAnsi="仿宋_GB2312" w:eastAsia="仿宋_GB2312"/>
          <w:b w:val="0"/>
          <w:color w:val="000000"/>
          <w:sz w:val="32"/>
        </w:rPr>
        <w:t>公司现金流量数据未公开披露。建议获取近三年现金流量表与主要银行账户流水，验证销售回款的真实性与稳定性。</w:t>
      </w:r>
    </w:p>
    <w:p>
      <w:pPr>
        <w:spacing w:lineRule="exact" w:line="600" w:before="0" w:after="0"/>
        <w:ind w:firstLine="420"/>
        <w:jc w:val="both"/>
      </w:pPr>
      <w:r>
        <w:rPr>
          <w:rFonts w:ascii="仿宋_GB2312" w:hAnsi="仿宋_GB2312" w:eastAsia="仿宋_GB2312"/>
          <w:b w:val="0"/>
          <w:color w:val="000000"/>
          <w:sz w:val="32"/>
        </w:rPr>
        <w:t>现金流量表是判断企业真实经营状况最难以修饰的报表。分析要点有三：一是经营活动现金流净额与净利润的匹配度，长期存在"利润高、现金少"的背离，通常意味着收入质量不高或存在大规模赊销与存货积压；二是投资活动现金流出规模与在建项目进度的匹配度，大额资本开支阶段现金流为负属正常，但需评估资金来源的可持续性；三是筹资活动现金流的构成，若企业长期依靠新增借款维持运转，即出现"借新还旧"特征，债务风险已实质上升。建议获取博泵科技近三年现金流量表及主要银行账户流水，验证销售回款的真实性与稳定性。</w:t>
      </w:r>
    </w:p>
    <w:p>
      <w:pPr>
        <w:spacing w:lineRule="exact" w:line="600" w:before="120" w:after="120"/>
        <w:ind w:firstLine="420"/>
        <w:jc w:val="left"/>
      </w:pPr>
      <w:r>
        <w:rPr>
          <w:rFonts w:ascii="楷体_GB2312" w:hAnsi="楷体_GB2312" w:eastAsia="楷体_GB2312"/>
          <w:b w:val="0"/>
          <w:color w:val="000000"/>
          <w:sz w:val="32"/>
        </w:rPr>
        <w:t>（六）同业对标与财务评价</w:t>
      </w:r>
    </w:p>
    <w:p>
      <w:pPr>
        <w:spacing w:lineRule="exact" w:line="600" w:before="0" w:after="0"/>
        <w:ind w:firstLine="420"/>
        <w:jc w:val="both"/>
      </w:pPr>
      <w:r>
        <w:rPr>
          <w:rFonts w:ascii="仿宋_GB2312" w:hAnsi="仿宋_GB2312" w:eastAsia="仿宋_GB2312"/>
          <w:b w:val="0"/>
          <w:color w:val="000000"/>
          <w:sz w:val="32"/>
        </w:rPr>
        <w:t>同业对标可选取工业泵领域上市与头部企业作为参照，关注其毛利率、资产负债率与经营现金流水平。需注意博泵科技为地方国企控股，与民营泵企在治理与激励上差异较大。</w:t>
      </w:r>
    </w:p>
    <w:p>
      <w:pPr>
        <w:spacing w:lineRule="exact" w:line="600" w:before="0" w:after="0"/>
        <w:ind w:firstLine="420"/>
        <w:jc w:val="both"/>
      </w:pPr>
      <w:r>
        <w:rPr>
          <w:rFonts w:ascii="仿宋_GB2312" w:hAnsi="仿宋_GB2312" w:eastAsia="仿宋_GB2312"/>
          <w:b w:val="0"/>
          <w:color w:val="000000"/>
          <w:sz w:val="32"/>
        </w:rPr>
        <w:t>同业对标应遵循"同环节、同规模、同区域"原则选取可比样本，避免以行业龙头的财务表现直接衡量中小企业。对标指标建议聚焦五项：毛利率（反映产品竞争力）、期间费用率（反映管理效率）、资产负债率（反映财务稳健性）、存货与应收周转天数（反映运营效率）、经营现金流与营业收入之比（反映收入质量）。通过分位数定位，可较为客观地判断企业在行业中的相对位置，并识别其财务改善的主要方向。</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（一）治理架构与决策机制</w:t>
      </w:r>
    </w:p>
    <w:p>
      <w:pPr>
        <w:spacing w:lineRule="exact" w:line="600" w:before="0" w:after="0"/>
        <w:ind w:firstLine="420"/>
        <w:jc w:val="both"/>
      </w:pPr>
      <w:r>
        <w:rPr>
          <w:rFonts w:ascii="仿宋_GB2312" w:hAnsi="仿宋_GB2312" w:eastAsia="仿宋_GB2312"/>
          <w:b w:val="0"/>
          <w:color w:val="000000"/>
          <w:sz w:val="32"/>
        </w:rPr>
        <w:t>公司为非上市地方国企，治理应建立党委会、董事会、经理层各司其职的架构，重大投资、担保、资产处置须履行国资审批或备案。国有出资背景使企业在要素保障与信贷可得性方面具有优势，但决策效率与市场化激励需持续改进。</w:t>
      </w:r>
    </w:p>
    <w:p>
      <w:pPr>
        <w:spacing w:lineRule="exact" w:line="600" w:before="0" w:after="0"/>
        <w:ind w:firstLine="420"/>
        <w:jc w:val="both"/>
      </w:pPr>
      <w:r>
        <w:rPr>
          <w:rFonts w:ascii="仿宋_GB2312" w:hAnsi="仿宋_GB2312" w:eastAsia="仿宋_GB2312"/>
          <w:b w:val="0"/>
          <w:color w:val="000000"/>
          <w:sz w:val="32"/>
        </w:rPr>
        <w:t>博泵科技为非上市企业，治理规范度总体低于公众公司，普遍存在股东会与董事会职能虚化、决策依赖实际控制人个人判断、"三重一大"事项缺乏集体决策留痕等现象。这并不必然意味着治理失效——在中小企业成长期，集中决策往往具有效率优势；但随着资产规模扩大与外部融资增加，治理短板会转化为实质风险，典型表现为关联交易不规范、资金管理混同、重大投资缺乏充分论证。建议企业逐步建立规范的董事会与专业委员会机制，明确授权边界与决策流程，为后续引入战略投资或上市奠定基础。</w:t>
      </w:r>
    </w:p>
    <w:p>
      <w:pPr>
        <w:spacing w:lineRule="exact" w:line="600" w:before="120" w:after="120"/>
        <w:ind w:firstLine="420"/>
        <w:jc w:val="left"/>
      </w:pPr>
      <w:r>
        <w:rPr>
          <w:rFonts w:ascii="楷体_GB2312" w:hAnsi="楷体_GB2312" w:eastAsia="楷体_GB2312"/>
          <w:b w:val="0"/>
          <w:color w:val="000000"/>
          <w:sz w:val="32"/>
        </w:rPr>
        <w:t>（二）管理层与激励约束</w:t>
      </w:r>
    </w:p>
    <w:p>
      <w:pPr>
        <w:spacing w:lineRule="exact" w:line="600" w:before="0" w:after="0"/>
        <w:ind w:firstLine="420"/>
        <w:jc w:val="both"/>
      </w:pPr>
      <w:r>
        <w:rPr>
          <w:rFonts w:ascii="仿宋_GB2312" w:hAnsi="仿宋_GB2312" w:eastAsia="仿宋_GB2312"/>
          <w:b w:val="0"/>
          <w:color w:val="000000"/>
          <w:sz w:val="32"/>
        </w:rPr>
        <w:t>公司管理层由国资出资人依照干部管理与经营者选聘制度任命或聘任，考核以国有资产保值增值、经营业绩指标完成情况和党建责任落实为主要内容。激励受工资总额管理与薪酬限高约束，建议重点关注任期制与契约化管理落地进展。</w:t>
      </w:r>
    </w:p>
    <w:p>
      <w:pPr>
        <w:spacing w:lineRule="exact" w:line="600" w:before="0" w:after="0"/>
        <w:ind w:firstLine="420"/>
        <w:jc w:val="both"/>
      </w:pPr>
      <w:r>
        <w:rPr>
          <w:rFonts w:ascii="仿宋_GB2312" w:hAnsi="仿宋_GB2312" w:eastAsia="仿宋_GB2312"/>
          <w:b w:val="0"/>
          <w:color w:val="000000"/>
          <w:sz w:val="32"/>
        </w:rPr>
        <w:t>国有企业管理层由出资人依照干部管理与经营者选聘制度任命或聘任，考核以国有资产保值增值、经营业绩指标完成情况和党建责任落实为主要内容。激励方面，受工资总额管理与薪酬限高约束，市场化激励空间相对有限，容易造成核心技术与营销骨干的流失。近年来国企普遍通过任期制和契约化管理、超额利润分享、项目分红、职业经理人试点等方式改善激励机制，建议关注该类改革在企业的落地进展与实际效果。</w:t>
      </w:r>
    </w:p>
    <w:p>
      <w:pPr>
        <w:spacing w:lineRule="exact" w:line="600" w:before="120" w:after="120"/>
        <w:ind w:firstLine="420"/>
        <w:jc w:val="left"/>
      </w:pPr>
      <w:r>
        <w:rPr>
          <w:rFonts w:ascii="楷体_GB2312" w:hAnsi="楷体_GB2312" w:eastAsia="楷体_GB2312"/>
          <w:b w:val="0"/>
          <w:color w:val="000000"/>
          <w:sz w:val="32"/>
        </w:rPr>
        <w:t>（三）人力资源与人才结构</w:t>
      </w:r>
    </w:p>
    <w:p>
      <w:pPr>
        <w:spacing w:lineRule="exact" w:line="600" w:before="0" w:after="0"/>
        <w:ind w:firstLine="420"/>
        <w:jc w:val="both"/>
      </w:pPr>
      <w:r>
        <w:rPr>
          <w:rFonts w:ascii="仿宋_GB2312" w:hAnsi="仿宋_GB2312" w:eastAsia="仿宋_GB2312"/>
          <w:b w:val="0"/>
          <w:color w:val="000000"/>
          <w:sz w:val="32"/>
        </w:rPr>
        <w:t>公司员工总数、学历与专业结构、参保人数未公开披露。博山区机电泵产业工人达4万余人，公司可依托本地产业工人红利。建议核查人员结构、培训记录与流动率。</w:t>
      </w:r>
    </w:p>
    <w:p>
      <w:pPr>
        <w:spacing w:lineRule="exact" w:line="600" w:before="0" w:after="0"/>
        <w:ind w:firstLine="420"/>
        <w:jc w:val="both"/>
      </w:pPr>
      <w:r>
        <w:rPr>
          <w:rFonts w:ascii="仿宋_GB2312" w:hAnsi="仿宋_GB2312" w:eastAsia="仿宋_GB2312"/>
          <w:b w:val="0"/>
          <w:color w:val="000000"/>
          <w:sz w:val="32"/>
        </w:rPr>
        <w:t>人力资源分析应关注总量、结构与效率三个层面。总量方面，社保参保人数是相对可靠的公开印证指标；结构方面，研发人员占比、本科及以上学历占比、技师与高级技师数量反映企业的技术能力与工艺传承水平；效率方面，人均营业收入与人均利润是横向比较管理水平的核心指标。对博山区等县域及园区企业而言，高端人才引进难、留存难是共性难题，通常需要依托"研发中心设在中心城市、生产基地布局县域"的双基地模式，或通过校企合作、产业教授、柔性引才等方式缓解。</w:t>
      </w:r>
    </w:p>
    <w:p>
      <w:pPr>
        <w:spacing w:lineRule="exact" w:line="600" w:before="120" w:after="120"/>
        <w:ind w:firstLine="420"/>
        <w:jc w:val="left"/>
      </w:pPr>
      <w:r>
        <w:rPr>
          <w:rFonts w:ascii="楷体_GB2312" w:hAnsi="楷体_GB2312" w:eastAsia="楷体_GB2312"/>
          <w:b w:val="0"/>
          <w:color w:val="000000"/>
          <w:sz w:val="32"/>
        </w:rPr>
        <w:t>（四）内控、合规与信息化管理</w:t>
      </w:r>
    </w:p>
    <w:p>
      <w:pPr>
        <w:spacing w:lineRule="exact" w:line="600" w:before="0" w:after="0"/>
        <w:ind w:firstLine="420"/>
        <w:jc w:val="both"/>
      </w:pPr>
      <w:r>
        <w:rPr>
          <w:rFonts w:ascii="仿宋_GB2312" w:hAnsi="仿宋_GB2312" w:eastAsia="仿宋_GB2312"/>
          <w:b w:val="0"/>
          <w:color w:val="000000"/>
          <w:sz w:val="32"/>
        </w:rPr>
        <w:t>公司内控体系运行未公开披露。国企内控除财务与业务外，应关注资金管理、关联交易、招投标与安全生产。建议核查其内控审计结论与国资监管要求落实情况。</w:t>
      </w:r>
    </w:p>
    <w:p>
      <w:pPr>
        <w:spacing w:lineRule="exact" w:line="600" w:before="0" w:after="0"/>
        <w:ind w:firstLine="420"/>
        <w:jc w:val="both"/>
      </w:pPr>
      <w:r>
        <w:rPr>
          <w:rFonts w:ascii="仿宋_GB2312" w:hAnsi="仿宋_GB2312" w:eastAsia="仿宋_GB2312"/>
          <w:b w:val="0"/>
          <w:color w:val="000000"/>
          <w:sz w:val="32"/>
        </w:rPr>
        <w:t>内部控制的有效性应从五个环节评估：一是资金管理，银行账户与印鉴是否分管、大额支付是否实行多级审批；二是采购与销售，是否建立招标比价、合同评审与信用额度管理制度；三是存货与资产，是否定期盘点并进行账实核对；四是关联交易，是否履行审批与定价公允性说明；五是信息系统，ERP、MES、财务系统的集成程度决定了数据的真实性与可核查性。信息化水平较高的企业，其经营数据可作为供应链金融线上化风控的数据基础，这一点在方案设计中具有直接价值。</w:t>
      </w:r>
    </w:p>
    <w:p>
      <w:pPr>
        <w:spacing w:lineRule="exact" w:line="600" w:before="120" w:after="120"/>
        <w:ind w:firstLine="420"/>
        <w:jc w:val="left"/>
      </w:pPr>
      <w:r>
        <w:rPr>
          <w:rFonts w:ascii="黑体" w:hAnsi="黑体" w:eastAsia="黑体"/>
          <w:b w:val="0"/>
          <w:color w:val="000000"/>
          <w:sz w:val="32"/>
        </w:rPr>
        <w:t>五、核心竞争力分析</w:t>
      </w:r>
    </w:p>
    <w:p>
      <w:pPr>
        <w:spacing w:lineRule="exact" w:line="600" w:before="120" w:after="120"/>
        <w:ind w:firstLine="420"/>
        <w:jc w:val="left"/>
      </w:pPr>
      <w:r>
        <w:rPr>
          <w:rFonts w:ascii="楷体_GB2312" w:hAnsi="楷体_GB2312" w:eastAsia="楷体_GB2312"/>
          <w:b w:val="0"/>
          <w:color w:val="000000"/>
          <w:sz w:val="32"/>
        </w:rPr>
        <w:t>（一）技术与工艺壁垒</w:t>
      </w:r>
    </w:p>
    <w:p>
      <w:pPr>
        <w:spacing w:lineRule="exact" w:line="600" w:before="0" w:after="0"/>
        <w:ind w:firstLine="420"/>
        <w:jc w:val="both"/>
      </w:pPr>
      <w:r>
        <w:rPr>
          <w:rFonts w:ascii="仿宋_GB2312" w:hAnsi="仿宋_GB2312" w:eastAsia="仿宋_GB2312"/>
          <w:b w:val="0"/>
          <w:color w:val="000000"/>
          <w:sz w:val="32"/>
        </w:rPr>
        <w:t>公司技术护城河集中体现在工业泵及流体输送装备的工程化能力上，依托博山"中国泵业名城"数十年的工艺积淀与人才储备，形成难以短期复制的制造经验。其作为产业集群骨干与梯度培育成员，具备持续产品迭代的组织载体。</w:t>
      </w:r>
    </w:p>
    <w:p>
      <w:pPr>
        <w:spacing w:lineRule="exact" w:line="600" w:before="0" w:after="0"/>
        <w:ind w:firstLine="420"/>
        <w:jc w:val="both"/>
      </w:pPr>
      <w:r>
        <w:rPr>
          <w:rFonts w:ascii="仿宋_GB2312" w:hAnsi="仿宋_GB2312" w:eastAsia="仿宋_GB2312"/>
          <w:b w:val="0"/>
          <w:color w:val="000000"/>
          <w:sz w:val="32"/>
        </w:rPr>
        <w:t>技术壁垒的实质是"可持续的不可替代性"。判断博泵科技技术护城河的深浅，可从四个角度切入：一是专利与工艺诀窍的组合，纯专利易被绕过，而工艺参数、配方、操作诀窍等隐性知识更难复制；二是研发投入的连续性，间断性投入难以形成技术代际差；三是与客户的联合开发深度，参与客户新品定义的供应商具有更强锁定效应；四是标准话语权，主导或参与国家标准、行业标准制定的企业，可将自身技术路线固化为行业门槛。</w:t>
      </w:r>
    </w:p>
    <w:p>
      <w:pPr>
        <w:spacing w:lineRule="exact" w:line="600" w:before="120" w:after="120"/>
        <w:ind w:firstLine="420"/>
        <w:jc w:val="left"/>
      </w:pPr>
      <w:r>
        <w:rPr>
          <w:rFonts w:ascii="楷体_GB2312" w:hAnsi="楷体_GB2312" w:eastAsia="楷体_GB2312"/>
          <w:b w:val="0"/>
          <w:color w:val="000000"/>
          <w:sz w:val="32"/>
        </w:rPr>
        <w:t>（二）规模与成本优势</w:t>
      </w:r>
    </w:p>
    <w:p>
      <w:pPr>
        <w:spacing w:lineRule="exact" w:line="600" w:before="0" w:after="0"/>
        <w:ind w:firstLine="420"/>
        <w:jc w:val="both"/>
      </w:pPr>
      <w:r>
        <w:rPr>
          <w:rFonts w:ascii="仿宋_GB2312" w:hAnsi="仿宋_GB2312" w:eastAsia="仿宋_GB2312"/>
          <w:b w:val="0"/>
          <w:color w:val="000000"/>
          <w:sz w:val="32"/>
        </w:rPr>
        <w:t>公司成本优势来源于博山本地完善的铸件与机加工配套（1300余家配套企业）、产业集群的物流与公用工程成本节约，以及国资背景带来的要素保障与融资成本优势。属结构性优势。</w:t>
      </w:r>
    </w:p>
    <w:p>
      <w:pPr>
        <w:spacing w:lineRule="exact" w:line="600" w:before="0" w:after="0"/>
        <w:ind w:firstLine="420"/>
        <w:jc w:val="both"/>
      </w:pPr>
      <w:r>
        <w:rPr>
          <w:rFonts w:ascii="仿宋_GB2312" w:hAnsi="仿宋_GB2312" w:eastAsia="仿宋_GB2312"/>
          <w:b w:val="0"/>
          <w:color w:val="000000"/>
          <w:sz w:val="32"/>
        </w:rPr>
        <w:t>成本优势的可靠来源是结构性而非一次性的：装置规模带来的单位投资与单耗下降、一体化带来的中间环节费用节省、区位带来的物流与公用工程成本优势、以及自动化改造带来的人工成本压缩，均属结构性优势；而依靠临时性低价原料、阶段性政策补贴或环保投入不足形成的成本优势不可持续，甚至构成重大合规隐患。</w:t>
      </w:r>
    </w:p>
    <w:p>
      <w:pPr>
        <w:spacing w:lineRule="exact" w:line="600" w:before="120" w:after="120"/>
        <w:ind w:firstLine="420"/>
        <w:jc w:val="left"/>
      </w:pPr>
      <w:r>
        <w:rPr>
          <w:rFonts w:ascii="楷体_GB2312" w:hAnsi="楷体_GB2312" w:eastAsia="楷体_GB2312"/>
          <w:b w:val="0"/>
          <w:color w:val="000000"/>
          <w:sz w:val="32"/>
        </w:rPr>
        <w:t>（三）客户与渠道壁垒</w:t>
      </w:r>
    </w:p>
    <w:p>
      <w:pPr>
        <w:spacing w:lineRule="exact" w:line="600" w:before="0" w:after="0"/>
        <w:ind w:firstLine="420"/>
        <w:jc w:val="both"/>
      </w:pPr>
      <w:r>
        <w:rPr>
          <w:rFonts w:ascii="仿宋_GB2312" w:hAnsi="仿宋_GB2312" w:eastAsia="仿宋_GB2312"/>
          <w:b w:val="0"/>
          <w:color w:val="000000"/>
          <w:sz w:val="32"/>
        </w:rPr>
        <w:t>工业设备客户壁垒表现为认证周期与切换成本，进入大型客户合格供应商名录需多轮审核；一旦纳入体系，客户出于质量一致性通常不轻易更换。博泵科技的国资背景有助于加快与大型央国企客户的合作。</w:t>
      </w:r>
    </w:p>
    <w:p>
      <w:pPr>
        <w:spacing w:lineRule="exact" w:line="600" w:before="0" w:after="0"/>
        <w:ind w:firstLine="420"/>
        <w:jc w:val="both"/>
      </w:pPr>
      <w:r>
        <w:rPr>
          <w:rFonts w:ascii="仿宋_GB2312" w:hAnsi="仿宋_GB2312" w:eastAsia="仿宋_GB2312"/>
          <w:b w:val="0"/>
          <w:color w:val="000000"/>
          <w:sz w:val="32"/>
        </w:rPr>
        <w:t>在B端市场，客户壁垒主要表现为认证周期与切换成本：进入大型客户合格供应商名录通常需经历样品验证、小批试用、产线验证等多轮审核，周期长达一至三年；一旦纳入体系，客户出于质量一致性与切换成本考虑通常不会轻易更换供应商。在C端市场，壁垒则来自品牌认知、渠道覆盖密度与消费者复购习惯。两类壁垒的共同点是需要长期投入积累，难以短期复制。</w:t>
      </w:r>
    </w:p>
    <w:p>
      <w:pPr>
        <w:spacing w:lineRule="exact" w:line="600" w:before="120" w:after="120"/>
        <w:ind w:firstLine="420"/>
        <w:jc w:val="left"/>
      </w:pPr>
      <w:r>
        <w:rPr>
          <w:rFonts w:ascii="楷体_GB2312" w:hAnsi="楷体_GB2312" w:eastAsia="楷体_GB2312"/>
          <w:b w:val="0"/>
          <w:color w:val="000000"/>
          <w:sz w:val="32"/>
        </w:rPr>
        <w:t>（四）集群协同与区位条件</w:t>
      </w:r>
    </w:p>
    <w:p>
      <w:pPr>
        <w:spacing w:lineRule="exact" w:line="600" w:before="0" w:after="0"/>
        <w:ind w:firstLine="420"/>
        <w:jc w:val="both"/>
      </w:pPr>
      <w:r>
        <w:rPr>
          <w:rFonts w:ascii="仿宋_GB2312" w:hAnsi="仿宋_GB2312" w:eastAsia="仿宋_GB2312"/>
          <w:b w:val="0"/>
          <w:color w:val="000000"/>
          <w:sz w:val="32"/>
        </w:rPr>
        <w:t>博山区机电泵集群为博泵科技提供了要素共享、知识溢出与市场匹配三类外部经济，特别是近2000家配套企业的本地协同、国家泵类产品质量检验中心的就近检测，以及国资骨干在产业链中的带动地位。</w:t>
      </w:r>
    </w:p>
    <w:p>
      <w:pPr>
        <w:spacing w:lineRule="exact" w:line="600" w:before="0" w:after="0"/>
        <w:ind w:firstLine="420"/>
        <w:jc w:val="both"/>
      </w:pPr>
      <w:r>
        <w:rPr>
          <w:rFonts w:ascii="仿宋_GB2312" w:hAnsi="仿宋_GB2312" w:eastAsia="仿宋_GB2312"/>
          <w:b w:val="0"/>
          <w:color w:val="000000"/>
          <w:sz w:val="32"/>
        </w:rPr>
        <w:t>淄博市博山区机电泵特色产业集群为博泵科技提供了三类外部经济：一是要素共享，包括集中供热供汽、集中污水处理、公共检验检测、危化品仓储物流等基础设施，显著降低单体企业的固定投入；二是知识溢出，产业链企业与科研机构在空间集聚中形成技术扩散与人才流动；三是市场匹配，上下游就近配套缩短采购半径、降低库存与物流成本。集群红利也带来风险关联性上升的另一面，即区域性环保督察、安全停产或能耗管控可能同时影响集群内多家企业，金融机构在区域集中度管理上应予关注。</w:t>
      </w:r>
    </w:p>
    <w:p>
      <w:pPr>
        <w:spacing w:lineRule="exact" w:line="600" w:before="120" w:after="120"/>
        <w:ind w:firstLine="420"/>
        <w:jc w:val="left"/>
      </w:pPr>
      <w:r>
        <w:rPr>
          <w:rFonts w:ascii="黑体" w:hAnsi="黑体" w:eastAsia="黑体"/>
          <w:b w:val="0"/>
          <w:color w:val="000000"/>
          <w:sz w:val="32"/>
        </w:rPr>
        <w:t>六、风险分析</w:t>
      </w:r>
    </w:p>
    <w:p>
      <w:pPr>
        <w:spacing w:lineRule="exact" w:line="600" w:before="0" w:after="0"/>
        <w:ind w:firstLine="420"/>
        <w:jc w:val="both"/>
      </w:pPr>
      <w:r>
        <w:rPr>
          <w:rFonts w:ascii="仿宋_GB2312" w:hAnsi="仿宋_GB2312" w:eastAsia="仿宋_GB2312"/>
          <w:b w:val="0"/>
          <w:color w:val="000000"/>
          <w:sz w:val="32"/>
        </w:rPr>
        <w:t>风险分析是本报告的重点部分。以下从行业与周期、市场与竞争、客户与应收账款、原材料与供应链、安全环保与合规、财务与流动性、治理与管理等维度，对博泵科技面临的主要风险进行识别，并提出相应的缓释建议。</w:t>
      </w:r>
    </w:p>
    <w:p>
      <w:pPr>
        <w:spacing w:lineRule="exact" w:line="600" w:before="120" w:after="120"/>
        <w:ind w:firstLine="420"/>
        <w:jc w:val="left"/>
      </w:pPr>
      <w:r>
        <w:rPr>
          <w:rFonts w:ascii="楷体_GB2312" w:hAnsi="楷体_GB2312" w:eastAsia="楷体_GB2312"/>
          <w:b w:val="0"/>
          <w:color w:val="000000"/>
          <w:sz w:val="32"/>
        </w:rPr>
        <w:t>（一）行业与周期风险</w:t>
      </w:r>
    </w:p>
    <w:p>
      <w:pPr>
        <w:spacing w:lineRule="exact" w:line="600" w:before="0" w:after="0"/>
        <w:ind w:firstLine="420"/>
        <w:jc w:val="both"/>
      </w:pPr>
      <w:r>
        <w:rPr>
          <w:rFonts w:ascii="仿宋_GB2312" w:hAnsi="仿宋_GB2312" w:eastAsia="仿宋_GB2312"/>
          <w:b w:val="0"/>
          <w:color w:val="000000"/>
          <w:sz w:val="32"/>
        </w:rPr>
        <w:t>装备与仪器仪表行业具有投资后周期特征，当制造业投资增速回落时设备类订单承压；反之在设备更新与国产替代政策推动下亦可获得结构性机会。出口管制与关税政策变化亦可能造成外部冲击。</w:t>
      </w:r>
    </w:p>
    <w:p>
      <w:pPr>
        <w:spacing w:lineRule="exact" w:line="600" w:before="0" w:after="0"/>
        <w:ind w:firstLine="420"/>
        <w:jc w:val="both"/>
      </w:pPr>
      <w:r>
        <w:rPr>
          <w:rFonts w:ascii="仿宋_GB2312" w:hAnsi="仿宋_GB2312" w:eastAsia="仿宋_GB2312"/>
          <w:b w:val="0"/>
          <w:color w:val="000000"/>
          <w:sz w:val="32"/>
        </w:rPr>
        <w:t>装备与仪器仪表行业需求源于下游制造业的固定资产投资与技术改造，因而具有"投资后周期"特征。当制造业投资增速回落时，设备类订单往往先于消费品承压；反之，在设备更新与国产替代政策推动下亦可获得结构性机会。此外，国际厂商在高端领域的价格策略调整、出口管制与关税政策变化，均可能对本行业造成外部冲击。</w:t>
      </w:r>
    </w:p>
    <w:p>
      <w:pPr>
        <w:spacing w:lineRule="exact" w:line="600" w:before="120" w:after="120"/>
        <w:ind w:firstLine="420"/>
        <w:jc w:val="left"/>
      </w:pPr>
      <w:r>
        <w:rPr>
          <w:rFonts w:ascii="楷体_GB2312" w:hAnsi="楷体_GB2312" w:eastAsia="楷体_GB2312"/>
          <w:b w:val="0"/>
          <w:color w:val="000000"/>
          <w:sz w:val="32"/>
        </w:rPr>
        <w:t>（二）市场与竞争风险</w:t>
      </w:r>
    </w:p>
    <w:p>
      <w:pPr>
        <w:spacing w:lineRule="exact" w:line="600" w:before="0" w:after="0"/>
        <w:ind w:firstLine="420"/>
        <w:jc w:val="both"/>
      </w:pPr>
      <w:r>
        <w:rPr>
          <w:rFonts w:ascii="仿宋_GB2312" w:hAnsi="仿宋_GB2312" w:eastAsia="仿宋_GB2312"/>
          <w:b w:val="0"/>
          <w:color w:val="000000"/>
          <w:sz w:val="32"/>
        </w:rPr>
        <w:t>竞争风险的现实表现是价格战与份额侵蚀。工业泵市场参与者众多，博泵科技需在产品差异化与服务质量上构筑非价格竞争优势。建议企业建立竞争情报跟踪机制。</w:t>
      </w:r>
    </w:p>
    <w:p>
      <w:pPr>
        <w:spacing w:lineRule="exact" w:line="600" w:before="0" w:after="0"/>
        <w:ind w:firstLine="420"/>
        <w:jc w:val="both"/>
      </w:pPr>
      <w:r>
        <w:rPr>
          <w:rFonts w:ascii="仿宋_GB2312" w:hAnsi="仿宋_GB2312" w:eastAsia="仿宋_GB2312"/>
          <w:b w:val="0"/>
          <w:color w:val="000000"/>
          <w:sz w:val="32"/>
        </w:rPr>
        <w:t>竞争风险的现实表现是价格战与份额侵蚀。当行业新增产能集中投放、需求增速低于供给增速时，价格竞争几乎不可避免，中小企业首先承压。对博泵科技而言，需关注三类竞争者：一是同环节的规模领先者，凭借成本优势主动降价挤压；二是纵向一体化的跨界进入者，可以牺牲单一环节利润换取整体份额；三是技术替代者，以新材料、新工艺或新商业模式重构需求。建议企业建立竞争情报跟踪机制，并以差异化品种与服务能力构筑非价格竞争优势。</w:t>
      </w:r>
    </w:p>
    <w:p>
      <w:pPr>
        <w:spacing w:lineRule="exact" w:line="600" w:before="120" w:after="120"/>
        <w:ind w:firstLine="420"/>
        <w:jc w:val="left"/>
      </w:pPr>
      <w:r>
        <w:rPr>
          <w:rFonts w:ascii="楷体_GB2312" w:hAnsi="楷体_GB2312" w:eastAsia="楷体_GB2312"/>
          <w:b w:val="0"/>
          <w:color w:val="000000"/>
          <w:sz w:val="32"/>
        </w:rPr>
        <w:t>（三）客户集中与应收账款风险</w:t>
      </w:r>
    </w:p>
    <w:p>
      <w:pPr>
        <w:spacing w:lineRule="exact" w:line="600" w:before="0" w:after="0"/>
        <w:ind w:firstLine="420"/>
        <w:jc w:val="both"/>
      </w:pPr>
      <w:r>
        <w:rPr>
          <w:rFonts w:ascii="仿宋_GB2312" w:hAnsi="仿宋_GB2312" w:eastAsia="仿宋_GB2312"/>
          <w:b w:val="0"/>
          <w:color w:val="000000"/>
          <w:sz w:val="32"/>
        </w:rPr>
        <w:t>客户集中度方面，若收入依赖少数大型工程公司或终端客户，单一客户变动会造成冲击。建议建立客户信用评级与额度管理，并运用信用保险、保理等工具转移风险。</w:t>
      </w:r>
    </w:p>
    <w:p>
      <w:pPr>
        <w:spacing w:lineRule="exact" w:line="600" w:before="0" w:after="0"/>
        <w:ind w:firstLine="420"/>
        <w:jc w:val="both"/>
      </w:pPr>
      <w:r>
        <w:rPr>
          <w:rFonts w:ascii="仿宋_GB2312" w:hAnsi="仿宋_GB2312" w:eastAsia="仿宋_GB2312"/>
          <w:b w:val="0"/>
          <w:color w:val="000000"/>
          <w:sz w:val="32"/>
        </w:rPr>
        <w:t>客户集中度过高时，单一客户的采购策略调整、准入资格变动或自身经营困难，都会对企业造成直接冲击；而客户过度分散又会抬高信用管理成本。应收账款风险的管理要点在于前端而非后端：应建立客户信用评级与额度管理制度，实行超额度审批与停货机制，对长账龄款项及时启动催收与法律程序，并考虑运用信用保险、保理等工具转移风险。</w:t>
      </w:r>
    </w:p>
    <w:p>
      <w:pPr>
        <w:spacing w:lineRule="exact" w:line="600" w:before="120" w:after="120"/>
        <w:ind w:firstLine="420"/>
        <w:jc w:val="left"/>
      </w:pPr>
      <w:r>
        <w:rPr>
          <w:rFonts w:ascii="楷体_GB2312" w:hAnsi="楷体_GB2312" w:eastAsia="楷体_GB2312"/>
          <w:b w:val="0"/>
          <w:color w:val="000000"/>
          <w:sz w:val="32"/>
        </w:rPr>
        <w:t>（四）原材料与供应链风险</w:t>
      </w:r>
    </w:p>
    <w:p>
      <w:pPr>
        <w:spacing w:lineRule="exact" w:line="600" w:before="0" w:after="0"/>
        <w:ind w:firstLine="420"/>
        <w:jc w:val="both"/>
      </w:pPr>
      <w:r>
        <w:rPr>
          <w:rFonts w:ascii="仿宋_GB2312" w:hAnsi="仿宋_GB2312" w:eastAsia="仿宋_GB2312"/>
          <w:b w:val="0"/>
          <w:color w:val="000000"/>
          <w:sz w:val="32"/>
        </w:rPr>
        <w:t>供应链风险集中于铸件、电机、密封件等关键件，博山本地配套完善可缓解，但高端密封与控制系统仍可能依赖外部。建议核查关键零部件清单、进口占比与备选供应商。</w:t>
      </w:r>
    </w:p>
    <w:p>
      <w:pPr>
        <w:spacing w:lineRule="exact" w:line="600" w:before="120" w:after="120"/>
        <w:ind w:firstLine="420"/>
        <w:jc w:val="left"/>
      </w:pPr>
      <w:r>
        <w:rPr>
          <w:rFonts w:ascii="楷体_GB2312" w:hAnsi="楷体_GB2312" w:eastAsia="楷体_GB2312"/>
          <w:b w:val="0"/>
          <w:color w:val="000000"/>
          <w:sz w:val="32"/>
        </w:rPr>
        <w:t>（五）安全环保与合规风险</w:t>
      </w:r>
    </w:p>
    <w:p>
      <w:pPr>
        <w:spacing w:lineRule="exact" w:line="600" w:before="0" w:after="0"/>
        <w:ind w:firstLine="420"/>
        <w:jc w:val="both"/>
      </w:pPr>
      <w:r>
        <w:rPr>
          <w:rFonts w:ascii="仿宋_GB2312" w:hAnsi="仿宋_GB2312" w:eastAsia="仿宋_GB2312"/>
          <w:b w:val="0"/>
          <w:color w:val="000000"/>
          <w:sz w:val="32"/>
        </w:rPr>
        <w:t>装备制造企业的合规风险包括产品质量责任、计量器具强制检定合规、知识产权侵权争议及安全生产中的机械伤害、特种设备与用电安全等。建议核查其质量与安全生产合规记录。</w:t>
      </w:r>
    </w:p>
    <w:p>
      <w:pPr>
        <w:spacing w:lineRule="exact" w:line="600" w:before="0" w:after="0"/>
        <w:ind w:firstLine="420"/>
        <w:jc w:val="both"/>
      </w:pPr>
      <w:r>
        <w:rPr>
          <w:rFonts w:ascii="仿宋_GB2312" w:hAnsi="仿宋_GB2312" w:eastAsia="仿宋_GB2312"/>
          <w:b w:val="0"/>
          <w:color w:val="000000"/>
          <w:sz w:val="32"/>
        </w:rPr>
        <w:t>装备制造企业的合规风险相对分散，主要包括产品质量责任与"三包"义务、计量器具型式批准与强制检定合规、知识产权侵权争议、出口管制与原产地合规、以及安全生产中的机械伤害、特种设备与用电安全等。对外资与出口导向型企业，还需关注数据跨境传输、技术出口许可等新型合规议题。</w:t>
      </w:r>
    </w:p>
    <w:p>
      <w:pPr>
        <w:spacing w:lineRule="exact" w:line="600" w:before="120" w:after="120"/>
        <w:ind w:firstLine="420"/>
        <w:jc w:val="left"/>
      </w:pPr>
      <w:r>
        <w:rPr>
          <w:rFonts w:ascii="楷体_GB2312" w:hAnsi="楷体_GB2312" w:eastAsia="楷体_GB2312"/>
          <w:b w:val="0"/>
          <w:color w:val="000000"/>
          <w:sz w:val="32"/>
        </w:rPr>
        <w:t>（六）财务与流动性风险</w:t>
      </w:r>
    </w:p>
    <w:p>
      <w:pPr>
        <w:spacing w:lineRule="exact" w:line="600" w:before="0" w:after="0"/>
        <w:ind w:firstLine="420"/>
        <w:jc w:val="both"/>
      </w:pPr>
      <w:r>
        <w:rPr>
          <w:rFonts w:ascii="仿宋_GB2312" w:hAnsi="仿宋_GB2312" w:eastAsia="仿宋_GB2312"/>
          <w:b w:val="0"/>
          <w:color w:val="000000"/>
          <w:sz w:val="32"/>
        </w:rPr>
        <w:t>财务风险方面，作为地方国企控股企业，需关注国资监管对负债率的约束与期限错配风险。建议金融机构重点监测有息负债增长、票据融资占比及抵质押资产比例等预警信号。</w:t>
      </w:r>
    </w:p>
    <w:p>
      <w:pPr>
        <w:spacing w:lineRule="exact" w:line="600" w:before="0" w:after="0"/>
        <w:ind w:firstLine="420"/>
        <w:jc w:val="both"/>
      </w:pPr>
      <w:r>
        <w:rPr>
          <w:rFonts w:ascii="仿宋_GB2312" w:hAnsi="仿宋_GB2312" w:eastAsia="仿宋_GB2312"/>
          <w:b w:val="0"/>
          <w:color w:val="000000"/>
          <w:sz w:val="32"/>
        </w:rPr>
        <w:t>财务风险的核心是期限错配与再融资依赖。在建项目规模较大而自有资金不足时，企业容易通过短期借款、票据滚动等方式弥补长期资金缺口，一旦外部融资环境收紧或某一渠道关闭，即可能引发连锁反应。建议金融机构重点监测四项预警信号：一是有息负债快速增长而经营现金流未同步改善；二是票据融资占比异常上升；三是关联方资金往来规模扩大；四是抵质押资产比例接近上限。对出现上述信号的企业，应及时调整授信策略与风险缓释安排。</w:t>
      </w:r>
    </w:p>
    <w:p>
      <w:pPr>
        <w:spacing w:lineRule="exact" w:line="600" w:before="120" w:after="120"/>
        <w:ind w:firstLine="420"/>
        <w:jc w:val="left"/>
      </w:pPr>
      <w:r>
        <w:rPr>
          <w:rFonts w:ascii="楷体_GB2312" w:hAnsi="楷体_GB2312" w:eastAsia="楷体_GB2312"/>
          <w:b w:val="0"/>
          <w:color w:val="000000"/>
          <w:sz w:val="32"/>
        </w:rPr>
        <w:t>（七）治理与经营管理风险</w:t>
      </w:r>
    </w:p>
    <w:p>
      <w:pPr>
        <w:spacing w:lineRule="exact" w:line="600" w:before="0" w:after="0"/>
        <w:ind w:firstLine="420"/>
        <w:jc w:val="both"/>
      </w:pPr>
      <w:r>
        <w:rPr>
          <w:rFonts w:ascii="仿宋_GB2312" w:hAnsi="仿宋_GB2312" w:eastAsia="仿宋_GB2312"/>
          <w:b w:val="0"/>
          <w:color w:val="000000"/>
          <w:sz w:val="32"/>
        </w:rPr>
        <w:t>治理风险方面，地方国企需平衡国资监管与市场化效率，避免决策链条过长影响市场响应。建议核查关联交易合规与重大事项决策留痕。</w:t>
      </w:r>
    </w:p>
    <w:p>
      <w:pPr>
        <w:spacing w:lineRule="exact" w:line="600" w:before="120" w:after="120"/>
        <w:ind w:firstLine="420"/>
        <w:jc w:val="left"/>
      </w:pPr>
      <w:r>
        <w:rPr>
          <w:rFonts w:ascii="楷体_GB2312" w:hAnsi="楷体_GB2312" w:eastAsia="楷体_GB2312"/>
          <w:b w:val="0"/>
          <w:color w:val="000000"/>
          <w:sz w:val="32"/>
        </w:rPr>
        <w:t>（八）风险综合判断</w:t>
      </w:r>
    </w:p>
    <w:p>
      <w:pPr>
        <w:spacing w:lineRule="exact" w:line="600" w:before="0" w:after="0"/>
        <w:ind w:firstLine="420"/>
        <w:jc w:val="both"/>
      </w:pPr>
      <w:r>
        <w:rPr>
          <w:rFonts w:ascii="仿宋_GB2312" w:hAnsi="仿宋_GB2312" w:eastAsia="仿宋_GB2312"/>
          <w:b w:val="0"/>
          <w:color w:val="000000"/>
          <w:sz w:val="32"/>
        </w:rPr>
        <w:t>综合判断，博泵科技面临的主要风险集中于行业周期波动、工业泵市场竞争及国企机制短板，但其国资背景、产业集群骨干地位与完善配套构成较强风险缓冲。整体风险等级中等偏低，对其授信应重点关注国资支持意愿与订单质量。</w:t>
      </w:r>
    </w:p>
    <w:p>
      <w:pPr>
        <w:spacing w:lineRule="exact" w:line="600" w:before="120" w:after="120"/>
        <w:ind w:firstLine="420"/>
        <w:jc w:val="left"/>
      </w:pPr>
      <w:r>
        <w:rPr>
          <w:rFonts w:ascii="黑体" w:hAnsi="黑体" w:eastAsia="黑体"/>
          <w:b w:val="0"/>
          <w:color w:val="000000"/>
          <w:sz w:val="32"/>
        </w:rPr>
        <w:t>七、融资需求与产品适配分析</w:t>
      </w:r>
    </w:p>
    <w:p>
      <w:pPr>
        <w:spacing w:lineRule="exact" w:line="600" w:before="120" w:after="120"/>
        <w:ind w:firstLine="420"/>
        <w:jc w:val="left"/>
      </w:pPr>
      <w:r>
        <w:rPr>
          <w:rFonts w:ascii="楷体_GB2312" w:hAnsi="楷体_GB2312" w:eastAsia="楷体_GB2312"/>
          <w:b w:val="0"/>
          <w:color w:val="000000"/>
          <w:sz w:val="32"/>
        </w:rPr>
        <w:t>（一）资金需求判断与用途分析</w:t>
      </w:r>
    </w:p>
    <w:p>
      <w:pPr>
        <w:spacing w:lineRule="exact" w:line="600" w:before="0" w:after="0"/>
        <w:ind w:firstLine="420"/>
        <w:jc w:val="both"/>
      </w:pPr>
      <w:r>
        <w:rPr>
          <w:rFonts w:ascii="仿宋_GB2312" w:hAnsi="仿宋_GB2312" w:eastAsia="仿宋_GB2312"/>
          <w:b w:val="0"/>
          <w:color w:val="000000"/>
          <w:sz w:val="32"/>
        </w:rPr>
        <w:t>从资金用途看，博泵科技的融资需求主要源于产能升级与营运资金：作为工业泵骨干，其技术改造与设备更新存在资本开支需求；原料采购需要周转资金。国资背景使其债务融资空间相对充裕。</w:t>
      </w:r>
    </w:p>
    <w:p>
      <w:pPr>
        <w:spacing w:lineRule="exact" w:line="600" w:before="0" w:after="0"/>
        <w:ind w:firstLine="420"/>
        <w:jc w:val="both"/>
      </w:pPr>
      <w:r>
        <w:rPr>
          <w:rFonts w:ascii="仿宋_GB2312" w:hAnsi="仿宋_GB2312" w:eastAsia="仿宋_GB2312"/>
          <w:b w:val="0"/>
          <w:color w:val="000000"/>
          <w:sz w:val="32"/>
        </w:rPr>
        <w:t>从资金用途看，博泵科技的融资需求可归为三类：一是营运资金需求，用于原料采购、人工与能源支出、应收账款与存货占用，其规模大体等于现金转换周期天数与日均营业成本的乘积，具有周转性、短期性特征，适配流动资金贷款、保理、票据贴现与供应链融资；二是资本性支出需求，用于产线建设、设备购置与技术改造，期限长、金额大，适配项目贷款、融资租赁与权益性资金；三是结构优化需求，用于置换高成本负债、延长债务久期、改善期限匹配。三类需求应匹配不同的金融工具，错配使用将放大风险。</w:t>
      </w:r>
    </w:p>
    <w:p>
      <w:pPr>
        <w:spacing w:lineRule="exact" w:line="600" w:before="120" w:after="120"/>
        <w:ind w:firstLine="420"/>
        <w:jc w:val="left"/>
      </w:pPr>
      <w:r>
        <w:rPr>
          <w:rFonts w:ascii="楷体_GB2312" w:hAnsi="楷体_GB2312" w:eastAsia="楷体_GB2312"/>
          <w:b w:val="0"/>
          <w:color w:val="000000"/>
          <w:sz w:val="32"/>
        </w:rPr>
        <w:t>（二）商业保理适配性分析</w:t>
      </w:r>
    </w:p>
    <w:p>
      <w:pPr>
        <w:spacing w:lineRule="exact" w:line="600" w:before="0" w:after="0"/>
        <w:ind w:firstLine="420"/>
        <w:jc w:val="both"/>
      </w:pPr>
      <w:r>
        <w:rPr>
          <w:rFonts w:ascii="仿宋_GB2312" w:hAnsi="仿宋_GB2312" w:eastAsia="仿宋_GB2312"/>
          <w:b w:val="0"/>
          <w:color w:val="000000"/>
          <w:sz w:val="32"/>
        </w:rPr>
        <w:t>商业保理方面，博泵科技对下游客户的应收账款可作明保标的，但需做好基础资产确权与回款路径封闭管理。可优先选择大型央国企客户项下已验收结算的应收账款。</w:t>
      </w:r>
    </w:p>
    <w:p>
      <w:pPr>
        <w:spacing w:lineRule="exact" w:line="600" w:before="0" w:after="0"/>
        <w:ind w:firstLine="420"/>
        <w:jc w:val="both"/>
      </w:pPr>
      <w:r>
        <w:rPr>
          <w:rFonts w:ascii="仿宋_GB2312" w:hAnsi="仿宋_GB2312" w:eastAsia="仿宋_GB2312"/>
          <w:b w:val="0"/>
          <w:color w:val="000000"/>
          <w:sz w:val="32"/>
        </w:rPr>
        <w:t>商业保理的适配前提是存在权属清晰、账期明确、确权可行的应收账款。针对博泵科技，方案设计要点包括：一是基础资产筛选，优先选择核心客户（大型央国企、上市公司或优质品牌商）项下已验收结算的应收账款，剔除存在质量争议、抵销抗辩与禁止转让条款的债权；二是确权方式，能取得买方书面确认的采用明保模式，不便确权的可采用暗保并辅以回款路径封闭管理；三是融资比例与定价，按发票金额的七成至九成核定，并根据买方信用等级差异化定价；四是风险缓释，设置回购条款、保证金或信用保险，并办理应收账款转让登记以防范重复融资。</w:t>
      </w:r>
    </w:p>
    <w:p>
      <w:pPr>
        <w:spacing w:lineRule="exact" w:line="600" w:before="120" w:after="120"/>
        <w:ind w:firstLine="420"/>
        <w:jc w:val="left"/>
      </w:pPr>
      <w:r>
        <w:rPr>
          <w:rFonts w:ascii="楷体_GB2312" w:hAnsi="楷体_GB2312" w:eastAsia="楷体_GB2312"/>
          <w:b w:val="0"/>
          <w:color w:val="000000"/>
          <w:sz w:val="32"/>
        </w:rPr>
        <w:t>（三）供应链金融适配性分析</w:t>
      </w:r>
    </w:p>
    <w:p>
      <w:pPr>
        <w:spacing w:lineRule="exact" w:line="600" w:before="0" w:after="0"/>
        <w:ind w:firstLine="420"/>
        <w:jc w:val="both"/>
      </w:pPr>
      <w:r>
        <w:rPr>
          <w:rFonts w:ascii="仿宋_GB2312" w:hAnsi="仿宋_GB2312" w:eastAsia="仿宋_GB2312"/>
          <w:b w:val="0"/>
          <w:color w:val="000000"/>
          <w:sz w:val="32"/>
        </w:rPr>
        <w:t>供应链金融方面，博泵科技可作为核心企业，依托自身信用开展反向保理帮助上游铸件与配套供应商提前回款；亦可依托下游大型客户的订单与应付确认开展订单融资。</w:t>
      </w:r>
    </w:p>
    <w:p>
      <w:pPr>
        <w:spacing w:lineRule="exact" w:line="600" w:before="0" w:after="0"/>
        <w:ind w:firstLine="420"/>
        <w:jc w:val="both"/>
      </w:pPr>
      <w:r>
        <w:rPr>
          <w:rFonts w:ascii="仿宋_GB2312" w:hAnsi="仿宋_GB2312" w:eastAsia="仿宋_GB2312"/>
          <w:b w:val="0"/>
          <w:color w:val="000000"/>
          <w:sz w:val="32"/>
        </w:rPr>
        <w:t>供应链金融的核心是依托真实交易与核心企业信用，为链上中小企业提供融资。针对博泵科技所处环节，可从两个方向设计：其一，若企业为链条核心企业，可依托其信用开展反向保理与电子债权凭证流转，帮助上游供应商提前回款，同时企业自身获得账期延长与采购议价空间；其二，若企业为链条上游或配套方，可依托下游核心企业的订单与应付确认开展订单融资、保理与存货（仓单）融资。两类方案均需以交易数据线上化为基础，实现合同、发票、物流单据与回款的四流合一验证。</w:t>
      </w:r>
    </w:p>
    <w:p>
      <w:pPr>
        <w:spacing w:lineRule="exact" w:line="600" w:before="120" w:after="120"/>
        <w:ind w:firstLine="420"/>
        <w:jc w:val="left"/>
      </w:pPr>
      <w:r>
        <w:rPr>
          <w:rFonts w:ascii="楷体_GB2312" w:hAnsi="楷体_GB2312" w:eastAsia="楷体_GB2312"/>
          <w:b w:val="0"/>
          <w:color w:val="000000"/>
          <w:sz w:val="32"/>
        </w:rPr>
        <w:t>（四）融资租赁适配性分析</w:t>
      </w:r>
    </w:p>
    <w:p>
      <w:pPr>
        <w:spacing w:lineRule="exact" w:line="600" w:before="0" w:after="0"/>
        <w:ind w:firstLine="420"/>
        <w:jc w:val="both"/>
      </w:pPr>
      <w:r>
        <w:rPr>
          <w:rFonts w:ascii="仿宋_GB2312" w:hAnsi="仿宋_GB2312" w:eastAsia="仿宋_GB2312"/>
          <w:b w:val="0"/>
          <w:color w:val="000000"/>
          <w:sz w:val="32"/>
        </w:rPr>
        <w:t>融资租赁方面，博泵科技属于设备密集型企业，可通过直接租赁更新加工与检测设备，通过售后回租盘活通用设备补充中长期资金。风控要点在于设备通用性与可处置性。</w:t>
      </w:r>
    </w:p>
    <w:p>
      <w:pPr>
        <w:spacing w:lineRule="exact" w:line="600" w:before="0" w:after="0"/>
        <w:ind w:firstLine="420"/>
        <w:jc w:val="both"/>
      </w:pPr>
      <w:r>
        <w:rPr>
          <w:rFonts w:ascii="仿宋_GB2312" w:hAnsi="仿宋_GB2312" w:eastAsia="仿宋_GB2312"/>
          <w:b w:val="0"/>
          <w:color w:val="000000"/>
          <w:sz w:val="32"/>
        </w:rPr>
        <w:t>博泵科技属于设备与装置投入密集型企业，融资租赁具有较强适配性。可行模式有二：一是直接租赁，用于新增产线、检测设备、环保设施与智能化改造设备的购置，租期三至五年、首付比例一至三成，租金与设备产生的现金流相匹配；二是售后回租，以企业现有权属清晰、成新率较高的通用性设备为标的盘活存量资产，补充中长期资金并改善债务期限结构。风控要点在于设备的通用性与可处置性——高度定制化、与装置不可分离的设备残值处置难度大，应审慎评估并适度降低融资比例。</w:t>
      </w:r>
    </w:p>
    <w:p>
      <w:pPr>
        <w:spacing w:lineRule="exact" w:line="600" w:before="120" w:after="120"/>
        <w:ind w:firstLine="420"/>
        <w:jc w:val="left"/>
      </w:pPr>
      <w:r>
        <w:rPr>
          <w:rFonts w:ascii="楷体_GB2312" w:hAnsi="楷体_GB2312" w:eastAsia="楷体_GB2312"/>
          <w:b w:val="0"/>
          <w:color w:val="000000"/>
          <w:sz w:val="32"/>
        </w:rPr>
        <w:t>（五）小额贷款适配性分析</w:t>
      </w:r>
    </w:p>
    <w:p>
      <w:pPr>
        <w:spacing w:lineRule="exact" w:line="600" w:before="0" w:after="0"/>
        <w:ind w:firstLine="420"/>
        <w:jc w:val="both"/>
      </w:pPr>
      <w:r>
        <w:rPr>
          <w:rFonts w:ascii="仿宋_GB2312" w:hAnsi="仿宋_GB2312" w:eastAsia="仿宋_GB2312"/>
          <w:b w:val="0"/>
          <w:color w:val="000000"/>
          <w:sz w:val="32"/>
        </w:rPr>
        <w:t>小额贷款方面，适配于博泵科技链上配套小微企业的应急周转与批量普惠授信，成本高于银行信贷，不宜作为长期主渠道。</w:t>
      </w:r>
    </w:p>
    <w:p>
      <w:pPr>
        <w:spacing w:lineRule="exact" w:line="600" w:before="0" w:after="0"/>
        <w:ind w:firstLine="420"/>
        <w:jc w:val="both"/>
      </w:pPr>
      <w:r>
        <w:rPr>
          <w:rFonts w:ascii="仿宋_GB2312" w:hAnsi="仿宋_GB2312" w:eastAsia="仿宋_GB2312"/>
          <w:b w:val="0"/>
          <w:color w:val="000000"/>
          <w:sz w:val="32"/>
        </w:rPr>
        <w:t>小额贷款公司具有决策链条短、放款速度快、抵押要求相对灵活的优势，适用于三类场景：一是应急周转，用于弥补银行贷款审批期间的资金缺口或临时性支付需求，期限通常三至六个月；二是链上小微配套企业融资，围绕博泵科技的上下游配套商、经销商与物流服务商开展批量化、标准化小额授信；三是员工与个体经营类需求的普惠覆盖。该类融资成本高于银行信贷，不宜作为长期主渠道，使用中应严格控制规模与期限，避免形成高成本债务滚动依赖。</w:t>
      </w:r>
    </w:p>
    <w:p>
      <w:pPr>
        <w:spacing w:lineRule="exact" w:line="600" w:before="120" w:after="120"/>
        <w:ind w:firstLine="420"/>
        <w:jc w:val="left"/>
      </w:pPr>
      <w:r>
        <w:rPr>
          <w:rFonts w:ascii="楷体_GB2312" w:hAnsi="楷体_GB2312" w:eastAsia="楷体_GB2312"/>
          <w:b w:val="0"/>
          <w:color w:val="000000"/>
          <w:sz w:val="32"/>
        </w:rPr>
        <w:t>（六）方案组合建议与风控要点</w:t>
      </w:r>
    </w:p>
    <w:p>
      <w:pPr>
        <w:spacing w:lineRule="exact" w:line="600" w:before="0" w:after="0"/>
        <w:ind w:firstLine="420"/>
        <w:jc w:val="both"/>
      </w:pPr>
      <w:r>
        <w:rPr>
          <w:rFonts w:ascii="仿宋_GB2312" w:hAnsi="仿宋_GB2312" w:eastAsia="仿宋_GB2312"/>
          <w:b w:val="0"/>
          <w:color w:val="000000"/>
          <w:sz w:val="32"/>
        </w:rPr>
        <w:t>综合上述分析，建议对博泵科技采取"以自偿性贸易融资为主、中长期工具为辅、普惠工具补充"的组合策略：营运资金缺口优先通过保理与供应链融资解决；技术改造通过融资租赁与项目贷款解决；链上小微需求通过小额贷款补充。</w:t>
      </w:r>
    </w:p>
    <w:p>
      <w:pPr>
        <w:spacing w:lineRule="exact" w:line="600" w:before="0" w:after="0"/>
        <w:ind w:firstLine="420"/>
        <w:jc w:val="both"/>
      </w:pPr>
      <w:r>
        <w:rPr>
          <w:rFonts w:ascii="仿宋_GB2312" w:hAnsi="仿宋_GB2312" w:eastAsia="仿宋_GB2312"/>
          <w:b w:val="0"/>
          <w:color w:val="000000"/>
          <w:sz w:val="32"/>
        </w:rPr>
        <w:t>综合上述分析，建议对博泵科技采取"以自偿性贸易融资为主、中长期工具为辅、普惠工具补充"的组合策略：营运资金缺口优先通过保理与供应链融资解决，实现融资与真实交易的自偿闭环；技术改造与设备更新通过融资租赁解决，匹配资产寿命与现金流回收周期；临时性与链上小微需求通过小额贷款补充。共通风控要点包括：交易真实性核验（合同、发票、物流、回款四流比对）、回款路径封闭管理、关联交易与虚构贸易排查、集团与区域集中度管控、以及安全环保与重大诉讼事件的贷后持续监测。</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120" w:after="120"/>
        <w:ind w:firstLine="420"/>
        <w:jc w:val="left"/>
      </w:pPr>
      <w:r>
        <w:rPr>
          <w:rFonts w:ascii="楷体_GB2312" w:hAnsi="楷体_GB2312" w:eastAsia="楷体_GB2312"/>
          <w:b w:val="0"/>
          <w:color w:val="000000"/>
          <w:sz w:val="32"/>
        </w:rPr>
        <w:t>（一）综合评价</w:t>
      </w:r>
    </w:p>
    <w:p>
      <w:pPr>
        <w:spacing w:lineRule="exact" w:line="600" w:before="0" w:after="0"/>
        <w:ind w:firstLine="420"/>
        <w:jc w:val="both"/>
      </w:pPr>
      <w:r>
        <w:rPr>
          <w:rFonts w:ascii="仿宋_GB2312" w:hAnsi="仿宋_GB2312" w:eastAsia="仿宋_GB2312"/>
          <w:b w:val="0"/>
          <w:color w:val="000000"/>
          <w:sz w:val="32"/>
        </w:rPr>
        <w:t>博泵科技是博山机电泵产业集群的国资骨干企业，由淄博市公有资产经营公司100%控股，注册资本5000.6万元，身处超百亿高增长产业集群，配套完善、信用背书较好。作为地方国企，其经营质量与机制效率是关键观察变量。</w:t>
      </w:r>
    </w:p>
    <w:p>
      <w:pPr>
        <w:spacing w:lineRule="exact" w:line="600" w:before="120" w:after="120"/>
        <w:ind w:firstLine="420"/>
        <w:jc w:val="left"/>
      </w:pPr>
      <w:r>
        <w:rPr>
          <w:rFonts w:ascii="楷体_GB2312" w:hAnsi="楷体_GB2312" w:eastAsia="楷体_GB2312"/>
          <w:b w:val="0"/>
          <w:color w:val="000000"/>
          <w:sz w:val="32"/>
        </w:rPr>
        <w:t>（二）发展展望</w:t>
      </w:r>
    </w:p>
    <w:p>
      <w:pPr>
        <w:spacing w:lineRule="exact" w:line="600" w:before="0" w:after="0"/>
        <w:ind w:firstLine="420"/>
        <w:jc w:val="both"/>
      </w:pPr>
      <w:r>
        <w:rPr>
          <w:rFonts w:ascii="仿宋_GB2312" w:hAnsi="仿宋_GB2312" w:eastAsia="仿宋_GB2312"/>
          <w:b w:val="0"/>
          <w:color w:val="000000"/>
          <w:sz w:val="32"/>
        </w:rPr>
        <w:t>展望未来，在设备更新与国产替代政策推动下，博泵科技依托国资背景与产业集群配套，有望在工业泵高端化与节能化方向扩大份额。建议关注其产品升级与混改激励机制进展。</w:t>
      </w:r>
    </w:p>
    <w:p>
      <w:pPr>
        <w:spacing w:lineRule="exact" w:line="600" w:before="120" w:after="120"/>
        <w:ind w:firstLine="420"/>
        <w:jc w:val="left"/>
      </w:pPr>
      <w:r>
        <w:rPr>
          <w:rFonts w:ascii="楷体_GB2312" w:hAnsi="楷体_GB2312" w:eastAsia="楷体_GB2312"/>
          <w:b w:val="0"/>
          <w:color w:val="000000"/>
          <w:sz w:val="32"/>
        </w:rPr>
        <w:t>（三）对企业的建议</w:t>
      </w:r>
    </w:p>
    <w:p>
      <w:pPr>
        <w:spacing w:lineRule="exact" w:line="600" w:before="0" w:after="0"/>
        <w:ind w:firstLine="420"/>
        <w:jc w:val="both"/>
      </w:pPr>
      <w:r>
        <w:rPr>
          <w:rFonts w:ascii="仿宋_GB2312" w:hAnsi="仿宋_GB2312" w:eastAsia="仿宋_GB2312"/>
          <w:b w:val="0"/>
          <w:color w:val="000000"/>
          <w:sz w:val="32"/>
        </w:rPr>
        <w:t>建议博泵科技在三个方面持续改进：一是强化质量与安全生产合规基础管理；二是优化债务结构与期限匹配；三是深化市场化激励与混合所有制改革，提升机制效率。</w:t>
      </w:r>
    </w:p>
    <w:p>
      <w:pPr>
        <w:spacing w:lineRule="exact" w:line="600" w:before="0" w:after="0"/>
        <w:ind w:firstLine="420"/>
        <w:jc w:val="both"/>
      </w:pPr>
      <w:r>
        <w:rPr>
          <w:rFonts w:ascii="仿宋_GB2312" w:hAnsi="仿宋_GB2312" w:eastAsia="仿宋_GB2312"/>
          <w:b w:val="0"/>
          <w:color w:val="000000"/>
          <w:sz w:val="32"/>
        </w:rPr>
        <w:t>此外，建议博泵科技在三个方面持续改进：一是提升财务与经营数据的规范性与可核查性，完善审计、内控与信息系统建设，为获得更低成本、更长期限的融资创造条件；二是优化债务结构与期限匹配，避免以短期资金支撑长期投入；三是强化安全环保与质量合规基础管理，把合规能力转化为可持续的竞争优势。</w:t>
      </w:r>
    </w:p>
    <w:p>
      <w:pPr>
        <w:spacing w:lineRule="exact" w:line="600" w:before="120" w:after="120"/>
        <w:ind w:firstLine="420"/>
        <w:jc w:val="left"/>
      </w:pPr>
      <w:r>
        <w:rPr>
          <w:rFonts w:ascii="楷体_GB2312" w:hAnsi="楷体_GB2312" w:eastAsia="楷体_GB2312"/>
          <w:b w:val="0"/>
          <w:color w:val="000000"/>
          <w:sz w:val="32"/>
        </w:rPr>
        <w:t>（四）对金融机构的建议</w:t>
      </w:r>
    </w:p>
    <w:p>
      <w:pPr>
        <w:spacing w:lineRule="exact" w:line="600" w:before="0" w:after="0"/>
        <w:ind w:firstLine="420"/>
        <w:jc w:val="both"/>
      </w:pPr>
      <w:r>
        <w:rPr>
          <w:rFonts w:ascii="仿宋_GB2312" w:hAnsi="仿宋_GB2312" w:eastAsia="仿宋_GB2312"/>
          <w:b w:val="0"/>
          <w:color w:val="000000"/>
          <w:sz w:val="32"/>
        </w:rPr>
        <w:t>对金融机构而言，服务博泵科技应立足"看集群、看国资、看合规"思路，以供应链金融与保理为抓手服务其周转与升级需求，并关注国资监管对负债率的约束。</w:t>
      </w:r>
    </w:p>
    <w:p>
      <w:pPr>
        <w:spacing w:lineRule="exact" w:line="600" w:before="0" w:after="0"/>
        <w:ind w:firstLine="420"/>
        <w:jc w:val="both"/>
      </w:pPr>
      <w:r>
        <w:rPr>
          <w:rFonts w:ascii="仿宋_GB2312" w:hAnsi="仿宋_GB2312" w:eastAsia="仿宋_GB2312"/>
          <w:b w:val="0"/>
          <w:color w:val="000000"/>
          <w:sz w:val="32"/>
        </w:rPr>
        <w:t>总体而言，服务淄博市博山区机电泵特色产业集群的金融机构应确立"看集群、看链条、看场景"的思路：以集群为单位开展行业研究与名单制营销，以链条为单位设计批量化金融方案，以真实交易场景为基础实施自偿性风控，并在区域与行业集中度上设置合理上限，实现支持实体经济与守住风险底线的统一。</w:t>
      </w:r>
    </w:p>
    <w:p>
      <w:pPr>
        <w:spacing w:lineRule="exact" w:line="600" w:before="120" w:after="120"/>
        <w:ind w:firstLine="420"/>
        <w:jc w:val="left"/>
      </w:pPr>
      <w:r>
        <w:rPr>
          <w:rFonts w:ascii="黑体" w:hAnsi="黑体" w:eastAsia="黑体"/>
          <w:b w:val="0"/>
          <w:color w:val="000000"/>
          <w:sz w:val="32"/>
        </w:rPr>
        <w:t>数据来源说明</w:t>
      </w:r>
    </w:p>
    <w:p>
      <w:pPr>
        <w:spacing w:lineRule="exact" w:line="600" w:before="0" w:after="0"/>
        <w:jc w:val="left"/>
      </w:pPr>
      <w:r>
        <w:rPr>
          <w:rFonts w:ascii="仿宋_GB2312" w:hAnsi="仿宋_GB2312" w:eastAsia="仿宋_GB2312"/>
          <w:b w:val="0"/>
          <w:color w:val="000000"/>
          <w:sz w:val="28"/>
        </w:rPr>
        <w:t>博山区公开报道及园区产业介绍材料（2024）。</w:t>
      </w:r>
    </w:p>
    <w:p>
      <w:pPr>
        <w:spacing w:lineRule="exact" w:line="600" w:before="0" w:after="0"/>
        <w:jc w:val="left"/>
      </w:pPr>
      <w:r>
        <w:rPr>
          <w:rFonts w:ascii="仿宋_GB2312" w:hAnsi="仿宋_GB2312" w:eastAsia="仿宋_GB2312"/>
          <w:b w:val="0"/>
          <w:color w:val="000000"/>
          <w:sz w:val="28"/>
        </w:rPr>
        <w:t>淄博市机电泵产业公开统计数据（2024）。</w:t>
      </w:r>
    </w:p>
    <w:p>
      <w:pPr>
        <w:spacing w:lineRule="exact" w:line="600" w:before="0" w:after="0"/>
        <w:jc w:val="left"/>
      </w:pPr>
      <w:r>
        <w:rPr>
          <w:rFonts w:ascii="仿宋_GB2312" w:hAnsi="仿宋_GB2312" w:eastAsia="仿宋_GB2312"/>
          <w:b w:val="0"/>
          <w:color w:val="000000"/>
          <w:sz w:val="28"/>
        </w:rPr>
        <w:t>企业公开宣传与媒体报道。</w:t>
      </w:r>
    </w:p>
    <w:p>
      <w:pPr>
        <w:spacing w:lineRule="exact" w:line="600" w:before="0" w:after="0"/>
        <w:jc w:val="left"/>
      </w:pPr>
      <w:r>
        <w:rPr>
          <w:rFonts w:ascii="仿宋_GB2312" w:hAnsi="仿宋_GB2312" w:eastAsia="仿宋_GB2312"/>
          <w:b w:val="0"/>
          <w:color w:val="000000"/>
          <w:sz w:val="28"/>
        </w:rPr>
        <w:t>本报告所引用的产能、产值、市场份额、财务等数据，均来源于上述公开渠道；凡公开渠道未披露的事项，报告中已明确标注"未公开披露"，未作任何推测或估算。报告中的分析判断为基于公开信息的专业意见，不构成投资、授信或其他决策的直接依据；实际业务开展前，应以企业提供的一手资料和现场尽职调查结论为准。</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