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淄博市博山区陶瓷琉璃特色产业集群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淄博康乾琉璃艺术品制造有限公司企业分析报告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、中国网/鲁网公开报道等渠道，统计时点截至2025年披露信息。淄博康乾琉璃艺术品制造有限公司为非上市小微企业，未公开披露经审计财务报表，本报告采用其公开的工商、资质与经营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康乾琉璃艺术品制造有限公司成立于2012年5月21日，统一社会信用代码91370304596574207F，法定代表人孙云毅，注册资本400万元人民币，企业类型为有限责任公司（自然人投资或控股），登记机关淄博市博山区市场监督管理局，经营状态存续。注册地址为淄博市博山区域城镇闫家楼村北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登记为非金属矿物制品业（其他陶瓷制品制造），属小微企业，参保人数12人（2024年报）。经营范围：雕塑、金属、漆器工艺品销售；广告设计、制作、发布；室内外装饰、装修；园林设计；琉璃工艺品、陶瓷制品制造、销售。官网为 jiyouhuang.com。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公司由孙云毅任执行董事兼总经理，姚金燕任监事；团队以工艺大师与技工为主，规模较小但技艺密集。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孙云毅之父辈自上世纪90年代开办小型玻璃厂研发名贵料器"鸡油黄"，2007年成功"复活"该失传工艺；孙云毅在父辈基础上潜心创新，于2012年5月成立康乾琉璃，专注鸡油黄、鸡肝石等名贵料器研发制造，并设康乾琉璃艺术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博山琉璃名贵料器（鸡油黄、鸡肝石）研制龙头与"山东手造"代表企业。主营琉璃工艺品、陶瓷制品制造销售，核心产品为鸡油黄、鸡肝石等高端艺术琉璃摆件与文创，兼营雕塑、漆器工艺品与园林装饰设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业务以名贵料器（鸡油黄、鸡肝石）艺术琉璃的研发、制造与艺术馆展销为主，兼营文创与定制；具体分产品收入未公开。据公开报道，公司享受增值税及所得税优惠，2022年累计享受政策优惠7.96万元。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核心产品为"鸡油黄""鸡肝石"名贵料器琉璃艺术品（摆件、文创），并有以鸡油黄废弃熟料再生鸡肝石的循环利用工艺；兼营琉璃/陶瓷工艺品、雕塑漆器、园林装饰。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客户为收藏者、艺术机构、文旅礼品与高端定制客户；依托康乾琉璃艺术馆展销与文化交流。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拥有2项专利、3项注册商标、1个企业品牌项目（"康乾琉璃"）；孙云毅获国家发明专利与非物质文化遗产（鸡油黄/鸡肝石料器）传承人身份、泰山产业领军人才、中国工美行业艺术大师等荣誉。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以艺术馆展销、非遗文创与高端定制为主；具体营收、产量未公开。公司为博山琉璃名贵料器细分领域代表。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康乾琉璃艺术品制造有限公司为非上市小微企业，未公开披露经审计财务报表，具体营收、利润、资产负债数据无法从公开渠道取得，本报告不编造。可查证：注册资本400万元、参保12人、小微企业；2022年享受税费优惠7.96万元（中国网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公司资本与人员规模较小、以技艺价值为核心，财务细项未公开；曾获齐商银行200万元"人才贷"支持高端鸡油黄研发。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自然人投资或控股的有限责任公司，孙云毅任执行董事兼总经理；党组织按小微企业惯例设立。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法定代表人孙云毅为泰山产业领军人才、中国工美行业艺术大师、非遗传承人，主导研发；参保12人，以工艺大师与技工为核心。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非遗技艺壁垒：独家"复活"鸡油黄、鸡肝石名贵料器，配方与工艺构成核心壁垒；二是人才与荣誉：泰山产业领军人才、工美艺术大师领衔；三是品牌：康乾琉璃艺术馆与"山东手造"代表；四是绿色工艺：以废弃熟料再生鸡肝石，降本减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琉璃艺术品偏小众、需求受文旅与收藏市场波动影响；经营风险：公司规模小、抗周期弱、依赖核心匠人；传承风险：技艺传承与人才断层；合规风险：安全生产与环保（窑炉、危化料）。应对措施：品牌化、文创化、借力"人才贷"与税费优惠扩研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料器研发与艺术馆运营存在资金诉求（曾获齐商银行200万人才贷）。协同点：一是供应链金融——为料器原料供应商提供保理；二是知识产权/收益权融资——以非遗专利与品牌收益作增信；三是融资租赁——窑炉与检测设备升级。建议以"人才贷式信用+知识产权质押"服务其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康乾琉璃是博山陶瓷琉璃集群中名贵料器（鸡油黄/鸡肝石）的研制龙头，非遗技艺与人才壁垒突出，是"山东手造"标杆。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展望：受益非遗文创与文旅消费复兴，高端料器有望量价齐升；建议山东投资以知识产权质押与供应链金融服务其研发扩产，并助力品牌走向高端礼品与收藏市场。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本报告数据来源于：天眼查/爱企查（康乾琉璃工商、股权、知识产权）、中国网（税费优惠报道）、鲁网（人才贷报道）、企业官网等公开信息；财务数据未公开披露部分均据实标注。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