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淄博市淄川区高端装备制造特色产业集群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山东国岳金刚石制品有限公司企业分析报告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企查查工商公开快照，淄博市淄川区人民政府门户网站2026年4月3日公开报道《国岳金刚石：深耕新能源赛道两款主营产品牵手国内头部企业》，公司官方网站及公开企业资料等公开渠道，统计时点截至2026年8月公开可查信息。该公司为非上市企业，除公开报道的产值数据外，完整财务报表未公开披露，本报告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国岳金刚石制品有限公司成立于2009年7月8日，统一社会信用代码为913703026920197054，工商注册号370300200010071，组织机构代码69201970-5，进出口企业代码3700692019705，法定代表人为贾世荣（兼执行董事、总经理），登记状态为在营（开业），纳税人资质为增值税一般纳税人。</w:t>
      </w:r>
    </w:p>
    <w:p>
      <w:pPr>
        <w:spacing w:lineRule="exact" w:line="600" w:before="0" w:after="0"/>
        <w:ind w:firstLine="420"/>
        <w:jc w:val="both"/>
      </w:pPr>
      <w:r>
        <w:rPr>
          <w:rFonts w:ascii="仿宋_GB2312" w:hAnsi="仿宋_GB2312" w:eastAsia="仿宋_GB2312"/>
          <w:b w:val="0"/>
          <w:color w:val="000000"/>
          <w:sz w:val="32"/>
        </w:rPr>
        <w:t>公司曾用名为"山东国岳特种陶瓷材料有限公司"，名称变更反映了公司业务重心由特种陶瓷材料向金刚石制品及精密铸造的战略迁移。企业类型为有限责任公司（自然人投资或控股），所属行业为专用设备制造业。</w:t>
      </w:r>
    </w:p>
    <w:p>
      <w:pPr>
        <w:spacing w:lineRule="exact" w:line="600" w:before="0" w:after="0"/>
        <w:ind w:firstLine="420"/>
        <w:jc w:val="both"/>
      </w:pPr>
      <w:r>
        <w:rPr>
          <w:rFonts w:ascii="仿宋_GB2312" w:hAnsi="仿宋_GB2312" w:eastAsia="仿宋_GB2312"/>
          <w:b w:val="0"/>
          <w:color w:val="000000"/>
          <w:sz w:val="32"/>
        </w:rPr>
        <w:t>注册资本为5000万元人民币，实缴资本3000万元人民币，实缴比例60%。公司注册及经营地址位于淄川经济开发区圣川路，与淄博市淄川区高端装备制造特色产业集群核心区高度重合。</w:t>
      </w:r>
    </w:p>
    <w:p>
      <w:pPr>
        <w:spacing w:lineRule="exact" w:line="600" w:before="0" w:after="0"/>
        <w:ind w:firstLine="420"/>
        <w:jc w:val="both"/>
      </w:pPr>
      <w:r>
        <w:rPr>
          <w:rFonts w:ascii="仿宋_GB2312" w:hAnsi="仿宋_GB2312" w:eastAsia="仿宋_GB2312"/>
          <w:b w:val="0"/>
          <w:color w:val="000000"/>
          <w:sz w:val="32"/>
        </w:rPr>
        <w:t>经营范围为：金刚石涂覆增强刚体PDC石油钻头生产、销售；石油钻采专用设备及配件制造、销售；钻采技术开发及服务；井筒技术服务；油气井增产技术开发及服务；油气井维修；煤矿机械设备、机械配件制造、销售；汽车配件、航空航天器零部件制造、销售；货物进出口。经营范围完整保留了公司起家的石油钻头业务，同时涵盖了当前主力的汽车配件与航空航天零部件业务。</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公司股东共5名，均为自然人，分别为韩桂云（大股东）、贾世荣、贾鑫玉、韩其淳、韩仲祥。从股东姓氏结构看，韩姓股东3名、贾姓股东2名，具有鲜明的家族企业特征，系由两个家族共同持股经营。具体持股比例第三方平台未完整公开。</w:t>
      </w:r>
    </w:p>
    <w:p>
      <w:pPr>
        <w:spacing w:lineRule="exact" w:line="600" w:before="0" w:after="0"/>
        <w:ind w:firstLine="420"/>
        <w:jc w:val="both"/>
      </w:pPr>
      <w:r>
        <w:rPr>
          <w:rFonts w:ascii="仿宋_GB2312" w:hAnsi="仿宋_GB2312" w:eastAsia="仿宋_GB2312"/>
          <w:b w:val="0"/>
          <w:color w:val="000000"/>
          <w:sz w:val="32"/>
        </w:rPr>
        <w:t>公司治理层面，贾世荣担任法定代表人、执行董事兼总经理，贾鑫玉担任监事；而据淄川区政府门户网站2026年4月公开报道，韩桂云的职务为公司董事长。这形成了"韩桂云任董事长（第一大股东）、贾世荣任执行董事兼总经理并担任法定代表人"的分工格局，即所有权与经营权在两个家族之间形成分工与制衡。</w:t>
      </w:r>
    </w:p>
    <w:p>
      <w:pPr>
        <w:spacing w:lineRule="exact" w:line="600" w:before="0" w:after="0"/>
        <w:ind w:firstLine="420"/>
        <w:jc w:val="both"/>
      </w:pPr>
      <w:r>
        <w:rPr>
          <w:rFonts w:ascii="仿宋_GB2312" w:hAnsi="仿宋_GB2312" w:eastAsia="仿宋_GB2312"/>
          <w:b w:val="0"/>
          <w:color w:val="000000"/>
          <w:sz w:val="32"/>
        </w:rPr>
        <w:t>需要说明的是，公司登记为有限责任公司且设执行董事而非董事会，与公开报道中的"董事长"称谓存在形式差异，实践中系企业内部惯用称谓，不影响对控制权的判断。综合判断，韩桂云作为第一大股东兼企业实际负责人，为公司实际控制人，家族控制特征明显，决策效率高但外部制衡有限。</w:t>
      </w:r>
    </w:p>
    <w:p>
      <w:pPr>
        <w:spacing w:lineRule="exact" w:line="600" w:before="0" w:after="0"/>
        <w:ind w:firstLine="420"/>
        <w:jc w:val="both"/>
      </w:pPr>
      <w:r>
        <w:rPr>
          <w:rFonts w:ascii="仿宋_GB2312" w:hAnsi="仿宋_GB2312" w:eastAsia="仿宋_GB2312"/>
          <w:b w:val="0"/>
          <w:color w:val="000000"/>
          <w:sz w:val="32"/>
        </w:rPr>
        <w:t>公司未引入外部机构投资者或国有资本，属纯民营家族控股企业，注册资本尚有2000万元未实缴，股东后续出资能力与意愿需在授信评估中予以关注。</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公司关联企业2家，法定代表人贾世荣关联企业3家，第一大股东韩桂云关联企业2家，整体关联企业数量较少，组织结构相对简单，以单体经营为主。</w:t>
      </w:r>
    </w:p>
    <w:p>
      <w:pPr>
        <w:spacing w:lineRule="exact" w:line="600" w:before="0" w:after="0"/>
        <w:ind w:firstLine="420"/>
        <w:jc w:val="both"/>
      </w:pPr>
      <w:r>
        <w:rPr>
          <w:rFonts w:ascii="仿宋_GB2312" w:hAnsi="仿宋_GB2312" w:eastAsia="仿宋_GB2312"/>
          <w:b w:val="0"/>
          <w:color w:val="000000"/>
          <w:sz w:val="32"/>
        </w:rPr>
        <w:t>内部按业务与职能划分为：铸造车间（低压铸造、制芯）、精密加工车间（多轴联动数控加工）、检测中心、研发中心（省级技术研发中心、院士工作站、与上海交通大学共建的联合研发中心）、质量与体系管理、供应链与生产计划等模块。</w:t>
      </w:r>
    </w:p>
    <w:p>
      <w:pPr>
        <w:spacing w:lineRule="exact" w:line="600" w:before="0" w:after="0"/>
        <w:ind w:firstLine="420"/>
        <w:jc w:val="both"/>
      </w:pPr>
      <w:r>
        <w:rPr>
          <w:rFonts w:ascii="仿宋_GB2312" w:hAnsi="仿宋_GB2312" w:eastAsia="仿宋_GB2312"/>
          <w:b w:val="0"/>
          <w:color w:val="000000"/>
          <w:sz w:val="32"/>
        </w:rPr>
        <w:t>一个显著的组织特征是：公司未设立销售部门。据董事长韩桂云在公开报道中所述，由于订单长期处于饱和状态，公司不仅没有设立销售部门，还因生产场地有限推掉了不少意向订单。这一"零销售部门"现象在制造业中极为罕见，是其技术与产品竞争力的直接体现，但也反映出公司在市场主动开拓、客户结构管理方面存在组织短板。</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第一阶段（2009—2014年）：石油钻头起家。公司2009年设立，初期以"山东国岳特种陶瓷材料有限公司"名义经营，专研金刚石涂覆增强刚体PDC石油钻头的研发制造。该业务技术门槛高，公司由此积累了硬质材料、精密成型与耐磨结构的技术基础，并通过了API等石油行业认证。</w:t>
      </w:r>
    </w:p>
    <w:p>
      <w:pPr>
        <w:spacing w:lineRule="exact" w:line="600" w:before="0" w:after="0"/>
        <w:ind w:firstLine="420"/>
        <w:jc w:val="both"/>
      </w:pPr>
      <w:r>
        <w:rPr>
          <w:rFonts w:ascii="仿宋_GB2312" w:hAnsi="仿宋_GB2312" w:eastAsia="仿宋_GB2312"/>
          <w:b w:val="0"/>
          <w:color w:val="000000"/>
          <w:sz w:val="32"/>
        </w:rPr>
        <w:t>第二阶段（2015—2019年）：向新能源汽车零部件转型。2015年，随着金属轻量化理念深入，公司判断传统制造业必须向高端制造转型。在与中国科学院合作过程中，公司将目光投向新能源汽车产业。2016年下半年，经过大量技术试验，适配新能源电车动力系统的水冷一体机壳成功下线，成为公司第一条增长曲线。</w:t>
      </w:r>
    </w:p>
    <w:p>
      <w:pPr>
        <w:spacing w:lineRule="exact" w:line="600" w:before="0" w:after="0"/>
        <w:ind w:firstLine="420"/>
        <w:jc w:val="both"/>
      </w:pPr>
      <w:r>
        <w:rPr>
          <w:rFonts w:ascii="仿宋_GB2312" w:hAnsi="仿宋_GB2312" w:eastAsia="仿宋_GB2312"/>
          <w:b w:val="0"/>
          <w:color w:val="000000"/>
          <w:sz w:val="32"/>
        </w:rPr>
        <w:t>第三阶段（2020年至今）：开辟特高压开关第二赛道。2020年，公司将研发重心转向特高压/高压开关行业，形成"新能源汽车＋电力装备"两条腿走路的业务格局。目前高压开关系列产品已达200多款，服务思源电气、正泰电源等国内制造业龙头企业。</w:t>
      </w:r>
    </w:p>
    <w:p>
      <w:pPr>
        <w:spacing w:lineRule="exact" w:line="600" w:before="0" w:after="0"/>
        <w:ind w:firstLine="420"/>
        <w:jc w:val="both"/>
      </w:pPr>
      <w:r>
        <w:rPr>
          <w:rFonts w:ascii="仿宋_GB2312" w:hAnsi="仿宋_GB2312" w:eastAsia="仿宋_GB2312"/>
          <w:b w:val="0"/>
          <w:color w:val="000000"/>
          <w:sz w:val="32"/>
        </w:rPr>
        <w:t>第四阶段（2026年起）：产能扩张与航空航天新赛道。2025年公司产值突破2亿元，订单饱和至2026年全年被锁定。在淄川区企业服务专班帮扶下，公司正在选址新建生产基地，力争年内建成投用，实现产能跨越式提升；同时依托技术优势进军航空航天精密加工领域，聚焦叶轮制造、航空发动机机匣等产品。</w:t>
      </w:r>
    </w:p>
    <w:p>
      <w:pPr>
        <w:spacing w:lineRule="exact" w:line="600" w:before="0" w:after="0"/>
        <w:ind w:firstLine="420"/>
        <w:jc w:val="both"/>
      </w:pPr>
      <w:r>
        <w:rPr>
          <w:rFonts w:ascii="仿宋_GB2312" w:hAnsi="仿宋_GB2312" w:eastAsia="仿宋_GB2312"/>
          <w:b w:val="0"/>
          <w:color w:val="000000"/>
          <w:sz w:val="32"/>
        </w:rPr>
        <w:t>资质荣誉方面，公司获评山东省人民政府"第三批战略性新兴产业"企业和"一企一技术"创新企业，以及2024年国家级高新技术企业、2025年国家级科技型中小企业、2025年省级专精特新中小企业。</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公司定位为"集设计研发、生产和销售于一体的铝合金镁合金机械配件精密铸造加工企业"，以铝合金反重力低压精密铸造为核心工艺，服务新能源汽车、电力装备、航空航天等高端制造领域。</w:t>
      </w:r>
    </w:p>
    <w:p>
      <w:pPr>
        <w:spacing w:lineRule="exact" w:line="600" w:before="0" w:after="0"/>
        <w:ind w:firstLine="420"/>
        <w:jc w:val="both"/>
      </w:pPr>
      <w:r>
        <w:rPr>
          <w:rFonts w:ascii="仿宋_GB2312" w:hAnsi="仿宋_GB2312" w:eastAsia="仿宋_GB2312"/>
          <w:b w:val="0"/>
          <w:color w:val="000000"/>
          <w:sz w:val="32"/>
        </w:rPr>
        <w:t>主营业务包括：汽车零部件（新能源汽车水冷一体机壳等）、电力行业配件（高压/特高压开关铸件）、航空航天铝镁合金配件的铸造和精密机械加工业务，同时保留PDC石油钻头及钻采配件业务。</w:t>
      </w:r>
    </w:p>
    <w:p>
      <w:pPr>
        <w:spacing w:lineRule="exact" w:line="600" w:before="0" w:after="0"/>
        <w:ind w:firstLine="420"/>
        <w:jc w:val="both"/>
      </w:pPr>
      <w:r>
        <w:rPr>
          <w:rFonts w:ascii="仿宋_GB2312" w:hAnsi="仿宋_GB2312" w:eastAsia="仿宋_GB2312"/>
          <w:b w:val="0"/>
          <w:color w:val="000000"/>
          <w:sz w:val="32"/>
        </w:rPr>
        <w:t>核心产品有二：其一为新能源汽车水冷一体机壳。该产品主要应用于新能源大巴车，为车内高速永磁发电机降温，在新能源汽车动力系统中占据重要地位。产品可依靠自身结构形成水压为发电机降温，保障电车发动机在高速运转状态下不易过热停机；其技术难点在于不足5厘米厚度的管壁内需暗藏多条精密水道并形成稳定水压，对铸造工艺与材料配方要求极高，公司自主研发的铸造工艺与产品配方达到国内领先水平。</w:t>
      </w:r>
    </w:p>
    <w:p>
      <w:pPr>
        <w:spacing w:lineRule="exact" w:line="600" w:before="0" w:after="0"/>
        <w:ind w:firstLine="420"/>
        <w:jc w:val="both"/>
      </w:pPr>
      <w:r>
        <w:rPr>
          <w:rFonts w:ascii="仿宋_GB2312" w:hAnsi="仿宋_GB2312" w:eastAsia="仿宋_GB2312"/>
          <w:b w:val="0"/>
          <w:color w:val="000000"/>
          <w:sz w:val="32"/>
        </w:rPr>
        <w:t>其二为高压开关系列铸件。高压开关是电力系统核心组件，应用场景广泛，据公司介绍，在大型水利发电站中，部分开关体量堪比六层高楼，其中配套铸造组件多达上万个。公司该系列产品已达200多款。</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结构清晰，按下游领域可分为四块：新能源汽车零部件（水冷一体机壳为代表）、电力装备铸件（高压/特高压开关配件）、石油钻采器具（PDC钻头及配件，公司起家业务）、航空航天精密件（2026年新开拓）。</w:t>
      </w:r>
    </w:p>
    <w:p>
      <w:pPr>
        <w:spacing w:lineRule="exact" w:line="600" w:before="0" w:after="0"/>
        <w:ind w:firstLine="420"/>
        <w:jc w:val="both"/>
      </w:pPr>
      <w:r>
        <w:rPr>
          <w:rFonts w:ascii="仿宋_GB2312" w:hAnsi="仿宋_GB2312" w:eastAsia="仿宋_GB2312"/>
          <w:b w:val="0"/>
          <w:color w:val="000000"/>
          <w:sz w:val="32"/>
        </w:rPr>
        <w:t>按公开报道的表述，公司"两款主营产品"即水冷一体机壳与高压开关铸件，牵手国内头部企业，为当前收入的主要来源。2025年公司产值突破2亿元，但各板块收入占比、毛利率结构未公开披露。</w:t>
      </w:r>
    </w:p>
    <w:p>
      <w:pPr>
        <w:spacing w:lineRule="exact" w:line="600" w:before="0" w:after="0"/>
        <w:ind w:firstLine="420"/>
        <w:jc w:val="both"/>
      </w:pPr>
      <w:r>
        <w:rPr>
          <w:rFonts w:ascii="仿宋_GB2312" w:hAnsi="仿宋_GB2312" w:eastAsia="仿宋_GB2312"/>
          <w:b w:val="0"/>
          <w:color w:val="000000"/>
          <w:sz w:val="32"/>
        </w:rPr>
        <w:t>业务模式上，公司为典型的定制化零部件供应商（Tier 1/Tier 2），依据下游主机厂图纸与技术要求进行铸造与精密加工，采用"以销定产"模式，无成品库存积压压力，但同时也意味着议价能力受制于下游客户。</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新能源汽车水冷一体机壳。采用铝合金反重力低压精密铸造工艺一次成型，内部集成多条精密冷却水道，用于新能源商用车（大巴车）高速永磁电机的散热。核心技术在于薄壁复杂内腔的铸造成型、水道的密封性与流量均匀性、以及铸件的致密度与耐压性能。公司为宇通汽车等国内头部新能源商用车企业的配件供应商。</w:t>
      </w:r>
    </w:p>
    <w:p>
      <w:pPr>
        <w:spacing w:lineRule="exact" w:line="600" w:before="0" w:after="0"/>
        <w:ind w:firstLine="420"/>
        <w:jc w:val="both"/>
      </w:pPr>
      <w:r>
        <w:rPr>
          <w:rFonts w:ascii="仿宋_GB2312" w:hAnsi="仿宋_GB2312" w:eastAsia="仿宋_GB2312"/>
          <w:b w:val="0"/>
          <w:color w:val="000000"/>
          <w:sz w:val="32"/>
        </w:rPr>
        <w:t>第二，高压/特高压开关铸件。为电力开关设备提供铝合金铸造壳体与结构件，产品系列已达200多款，服务思源电气、正泰电源等龙头企业。该类产品对气密性、耐压强度、尺寸精度要求严苛，且随特高压电网建设与配电网改造投资加大，需求持续旺盛。据公开报道，2026年3月公司有一批用于电力开关的铸造件装车发货，加工车间满负荷运转，客户盯守生产线以确保加急订单工期。</w:t>
      </w:r>
    </w:p>
    <w:p>
      <w:pPr>
        <w:spacing w:lineRule="exact" w:line="600" w:before="0" w:after="0"/>
        <w:ind w:firstLine="420"/>
        <w:jc w:val="both"/>
      </w:pPr>
      <w:r>
        <w:rPr>
          <w:rFonts w:ascii="仿宋_GB2312" w:hAnsi="仿宋_GB2312" w:eastAsia="仿宋_GB2312"/>
          <w:b w:val="0"/>
          <w:color w:val="000000"/>
          <w:sz w:val="32"/>
        </w:rPr>
        <w:t>第三，PDC石油钻头及钻采配件。金刚石涂覆增强刚体PDC钻头，公司起家产品，技术含量高，已取得API认证。</w:t>
      </w:r>
    </w:p>
    <w:p>
      <w:pPr>
        <w:spacing w:lineRule="exact" w:line="600" w:before="0" w:after="0"/>
        <w:ind w:firstLine="420"/>
        <w:jc w:val="both"/>
      </w:pPr>
      <w:r>
        <w:rPr>
          <w:rFonts w:ascii="仿宋_GB2312" w:hAnsi="仿宋_GB2312" w:eastAsia="仿宋_GB2312"/>
          <w:b w:val="0"/>
          <w:color w:val="000000"/>
          <w:sz w:val="32"/>
        </w:rPr>
        <w:t>第四，航空航天精密加工件。2026年新拓展方向，聚焦叶轮制造、航空发动机机匣等高附加值产品。公司已具备相关基础：拥有航天航空铝镁合金配件铸造与加工业务资质，通过了军工质量认证并取得武器装备科研生产单位保密资格，为进入航空航天与军工供应链扫清了资质障碍。</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公司客户均为各细分领域的国内头部企业，客户质量高、信用状况良好，是其最突出的经营优势之一。</w:t>
      </w:r>
    </w:p>
    <w:p>
      <w:pPr>
        <w:spacing w:lineRule="exact" w:line="600" w:before="0" w:after="0"/>
        <w:ind w:firstLine="420"/>
        <w:jc w:val="both"/>
      </w:pPr>
      <w:r>
        <w:rPr>
          <w:rFonts w:ascii="仿宋_GB2312" w:hAnsi="仿宋_GB2312" w:eastAsia="仿宋_GB2312"/>
          <w:b w:val="0"/>
          <w:color w:val="000000"/>
          <w:sz w:val="32"/>
        </w:rPr>
        <w:t>新能源汽车领域，公司为宇通汽车等国内头部新能源商用车企业的配件供应商。宇通客车为全球客车行业龙头企业，其供应商体系准入标准严格、审核周期长，能够进入宇通配套体系本身即是对公司质量能力的重要背书。</w:t>
      </w:r>
    </w:p>
    <w:p>
      <w:pPr>
        <w:spacing w:lineRule="exact" w:line="600" w:before="0" w:after="0"/>
        <w:ind w:firstLine="420"/>
        <w:jc w:val="both"/>
      </w:pPr>
      <w:r>
        <w:rPr>
          <w:rFonts w:ascii="仿宋_GB2312" w:hAnsi="仿宋_GB2312" w:eastAsia="仿宋_GB2312"/>
          <w:b w:val="0"/>
          <w:color w:val="000000"/>
          <w:sz w:val="32"/>
        </w:rPr>
        <w:t>电力装备领域，客户包括思源电气、正泰电源等国内制造业龙头。思源电气为A股上市公司（002028），是国内输配电及控制设备领域的重要企业；正泰电源隶属正泰集团，同为电气行业领军企业。上述客户均为上市公司或大型集团，付款能力强、信用记录良好。</w:t>
      </w:r>
    </w:p>
    <w:p>
      <w:pPr>
        <w:spacing w:lineRule="exact" w:line="600" w:before="0" w:after="0"/>
        <w:ind w:firstLine="420"/>
        <w:jc w:val="both"/>
      </w:pPr>
      <w:r>
        <w:rPr>
          <w:rFonts w:ascii="仿宋_GB2312" w:hAnsi="仿宋_GB2312" w:eastAsia="仿宋_GB2312"/>
          <w:b w:val="0"/>
          <w:color w:val="000000"/>
          <w:sz w:val="32"/>
        </w:rPr>
        <w:t>客户结构特征：一是集中度较高，主要收入来自少数头部客户，存在客户集中风险；二是粘性极强，铸造件需经过模具开发、试制验证、批量认证等长周期流程，客户切换成本高；三是订单饱和度高，公司自2025年10月起已不再接受新订单，2026年全年订单被锁定，反映需求端极为强劲。</w:t>
      </w:r>
    </w:p>
    <w:p>
      <w:pPr>
        <w:spacing w:lineRule="exact" w:line="600" w:before="0" w:after="0"/>
        <w:ind w:firstLine="420"/>
        <w:jc w:val="both"/>
      </w:pPr>
      <w:r>
        <w:rPr>
          <w:rFonts w:ascii="仿宋_GB2312" w:hAnsi="仿宋_GB2312" w:eastAsia="仿宋_GB2312"/>
          <w:b w:val="0"/>
          <w:color w:val="000000"/>
          <w:sz w:val="32"/>
        </w:rPr>
        <w:t>需要指出的是，客户"盯在生产线上、生怕加急订单耽误工期"的描述，一方面说明公司产品不可替代性强、客户依赖度高，另一方面也暴露出公司产能已成为客户供应链的瓶颈环节，若不能及时扩产，存在客户被迫寻找第二供应商的隐忧。</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公司上游主要采购项目包括：铝合金锭与镁合金锭（主要原材料）、造型材料与型砂、涂料与熔剂、机加工刀具（进口硬质合金刀具为主）、以及能源动力（电力、天然气，熔炼与热处理为高耗能环节）。</w:t>
      </w:r>
    </w:p>
    <w:p>
      <w:pPr>
        <w:spacing w:lineRule="exact" w:line="600" w:before="0" w:after="0"/>
        <w:ind w:firstLine="420"/>
        <w:jc w:val="both"/>
      </w:pPr>
      <w:r>
        <w:rPr>
          <w:rFonts w:ascii="仿宋_GB2312" w:hAnsi="仿宋_GB2312" w:eastAsia="仿宋_GB2312"/>
          <w:b w:val="0"/>
          <w:color w:val="000000"/>
          <w:sz w:val="32"/>
        </w:rPr>
        <w:t>铝价波动是公司成本端最主要的变量。铝锭作为大宗商品，价格受国际市场、能源成本与供需关系影响波动较大，若公司与客户的价格调整机制不能有效联动，将直接侵蚀毛利。</w:t>
      </w:r>
    </w:p>
    <w:p>
      <w:pPr>
        <w:spacing w:lineRule="exact" w:line="600" w:before="0" w:after="0"/>
        <w:ind w:firstLine="420"/>
        <w:jc w:val="both"/>
      </w:pPr>
      <w:r>
        <w:rPr>
          <w:rFonts w:ascii="仿宋_GB2312" w:hAnsi="仿宋_GB2312" w:eastAsia="仿宋_GB2312"/>
          <w:b w:val="0"/>
          <w:color w:val="000000"/>
          <w:sz w:val="32"/>
        </w:rPr>
        <w:t>公司通过IATF16949、ISO9001等体系管理供应商，具备规范的采购与来料检验流程，配备OBLF直读光谱仪可对进厂原材料成分进行快速验证，质量控制前移。具体供应商名单与采购集中度未公开披露。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厂区与产能方面，公司占地面积46800平方米，其中厂房26000平方米、办公及研发楼5600平方米。2025年产值突破2亿元。据董事长韩桂云表述，若产能空间充足，产值有望实现翻倍，即公司当前面临的核心约束是生产场地不足而非市场需求不足。公司正在淄川区政府企业服务专班帮扶下选址新建生产基地，力争年内建成投用。</w:t>
      </w:r>
    </w:p>
    <w:p>
      <w:pPr>
        <w:spacing w:lineRule="exact" w:line="600" w:before="0" w:after="0"/>
        <w:ind w:firstLine="420"/>
        <w:jc w:val="both"/>
      </w:pPr>
      <w:r>
        <w:rPr>
          <w:rFonts w:ascii="仿宋_GB2312" w:hAnsi="仿宋_GB2312" w:eastAsia="仿宋_GB2312"/>
          <w:b w:val="0"/>
          <w:color w:val="000000"/>
          <w:sz w:val="32"/>
        </w:rPr>
        <w:t>生产装备方面，公司投入巨资构建了从铸造、加工到检测的全流程高端装备体系。铸造设备包括J455、J458、J4510型低压铸造机，600kg/h日本铝合金熔化炉，Z8640系列制芯机；加工设备包括德国进口德马吉DMU80P与DMU125P五轴五联动数控加工中心、奥地利EMCO HYPERTURN 690九轴五联动加工中心、日本马扎克HCN8800-Ⅱ卧式加工中心、台湾LTC-50CL多功能数控车削中心、MCV-1500i与V-40立式加工中心、台湾协鸿HCMC-1682加工中心等；检测设备包括海克斯康GLOBAL 152210桥式坐标测量机、德国OBLF直读光谱仪、X射线实时成像检测设备、MTS万能试验机、超声波探伤仪、中频钎焊与自动电焊一体机、程控双室中频真空烧结炉等。上述装备配置在县域民营铸造企业中属顶级水平，是公司承接高精度、高附加值订单的物质基础。</w:t>
      </w:r>
    </w:p>
    <w:p>
      <w:pPr>
        <w:spacing w:lineRule="exact" w:line="600" w:before="0" w:after="0"/>
        <w:ind w:firstLine="420"/>
        <w:jc w:val="both"/>
      </w:pPr>
      <w:r>
        <w:rPr>
          <w:rFonts w:ascii="仿宋_GB2312" w:hAnsi="仿宋_GB2312" w:eastAsia="仿宋_GB2312"/>
          <w:b w:val="0"/>
          <w:color w:val="000000"/>
          <w:sz w:val="32"/>
        </w:rPr>
        <w:t>研发资源方面，公司创建了体系完善的省级技术研发中心，建立了具技术权威的院士工作站，与上海交通大学合作建立先进轻合金精密铸造成型技术联合研发中心，并与中国科学院开展过技术合作。研发团队方面，公司组建了一支由20多名高层次人才组成的研发团队，科研人员22人，其中教授6人、副教授4人、博士5人、硕士7人，高层次人才密度在同类企业中极为突出。知识产权方面，拥有自主知识产权的发明专利9项、实用新型专利15项。</w:t>
      </w:r>
    </w:p>
    <w:p>
      <w:pPr>
        <w:spacing w:lineRule="exact" w:line="600" w:before="0" w:after="0"/>
        <w:ind w:firstLine="420"/>
        <w:jc w:val="both"/>
      </w:pPr>
      <w:r>
        <w:rPr>
          <w:rFonts w:ascii="仿宋_GB2312" w:hAnsi="仿宋_GB2312" w:eastAsia="仿宋_GB2312"/>
          <w:b w:val="0"/>
          <w:color w:val="000000"/>
          <w:sz w:val="32"/>
        </w:rPr>
        <w:t>认证与牌照方面，公司通过了IATF16949汽车行业质量管理体系认证、ISO9001质量管理体系认证、ISO14001环境管理体系认证、OHSAS18001职业健康安全管理体系认证、国际HSE管理体系认证，以及API（美国石油学会）认证和军工质量认证，并取得武器装备科研生产单位保密资格。认证体系之完整，覆盖了汽车、石油、军工三大高门槛行业，构成了极强的资质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模式极为特殊：未设立销售部门，完全依靠技术口碑与客户主动寻源获取订单。据董事长韩桂云表述，众多客户正是看中企业过硬的铸造技术与产品创新能力。这种"技术驱动型"的获客方式，在订单充裕期效率极高、销售费用极低，有利于毛利率维持；但在行业下行期或客户需求转移时，缺乏主动市场开拓能力将成为明显短板。</w:t>
      </w:r>
    </w:p>
    <w:p>
      <w:pPr>
        <w:spacing w:lineRule="exact" w:line="600" w:before="0" w:after="0"/>
        <w:ind w:firstLine="420"/>
        <w:jc w:val="both"/>
      </w:pPr>
      <w:r>
        <w:rPr>
          <w:rFonts w:ascii="仿宋_GB2312" w:hAnsi="仿宋_GB2312" w:eastAsia="仿宋_GB2312"/>
          <w:b w:val="0"/>
          <w:color w:val="000000"/>
          <w:sz w:val="32"/>
        </w:rPr>
        <w:t>公司拥有进出口企业代码，经营范围含货物进出口，具备出口能力，但海外销售规模未公开披露。</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经营数据方面，公开可查的核心指标为：2025年企业产值突破2亿元；员工参保人数238人，人员规模区间200—299人；订单自2025年10月起已锁定至2026年全年，产能利用率接近饱和。</w:t>
      </w:r>
    </w:p>
    <w:p>
      <w:pPr>
        <w:spacing w:lineRule="exact" w:line="600" w:before="0" w:after="0"/>
        <w:ind w:firstLine="420"/>
        <w:jc w:val="both"/>
      </w:pPr>
      <w:r>
        <w:rPr>
          <w:rFonts w:ascii="仿宋_GB2312" w:hAnsi="仿宋_GB2312" w:eastAsia="仿宋_GB2312"/>
          <w:b w:val="0"/>
          <w:color w:val="000000"/>
          <w:sz w:val="32"/>
        </w:rPr>
        <w:t>市场地位方面，公司在新能源商用车水冷一体机壳这一细分产品上，铸造工艺与产品配方达到国内领先水平，是宇通等头部客户的配套供应商；在高压开关铸件领域，产品系列达200多款，覆盖思源电气、正泰电源等龙头客户，产品谱系宽度在同行中具备优势。受制于公开数据缺失，精确市场占有率无法量化。</w:t>
      </w:r>
    </w:p>
    <w:p>
      <w:pPr>
        <w:spacing w:lineRule="exact" w:line="600" w:before="0" w:after="0"/>
        <w:ind w:firstLine="420"/>
        <w:jc w:val="both"/>
      </w:pPr>
      <w:r>
        <w:rPr>
          <w:rFonts w:ascii="仿宋_GB2312" w:hAnsi="仿宋_GB2312" w:eastAsia="仿宋_GB2312"/>
          <w:b w:val="0"/>
          <w:color w:val="000000"/>
          <w:sz w:val="32"/>
        </w:rPr>
        <w:t>值得注意的是，公司获评山东省政府"第三批战略性新兴产业"企业和"一企一技术"创新企业，在省级层面获得了产业定位认可。</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国岳金刚石制品有限公司为非上市企业，无强制财务信息披露义务。经检索国家企业信用信息公示系统、企查查等公开渠道，公司近三年营业收入、净利润、毛利率、资产总额、负债总额、资产负债率、经营活动现金流量净额等完整财务报表数据未公开披露。</w:t>
      </w:r>
    </w:p>
    <w:p>
      <w:pPr>
        <w:spacing w:lineRule="exact" w:line="600" w:before="0" w:after="0"/>
        <w:ind w:firstLine="420"/>
        <w:jc w:val="both"/>
      </w:pPr>
      <w:r>
        <w:rPr>
          <w:rFonts w:ascii="仿宋_GB2312" w:hAnsi="仿宋_GB2312" w:eastAsia="仿宋_GB2312"/>
          <w:b w:val="0"/>
          <w:color w:val="000000"/>
          <w:sz w:val="32"/>
        </w:rPr>
        <w:t>唯一可获取的经营规模数据为淄川区人民政府门户网站2026年4月3日公开报道披露的"2025年企业产值突破2亿元"。需说明的是，"产值"为工业统计口径，与会计口径的"营业收入"存在差异（产值包含库存产品变动等因素），不能直接等同，本报告在引用时保留其原始口径表述。</w:t>
      </w:r>
    </w:p>
    <w:p>
      <w:pPr>
        <w:spacing w:lineRule="exact" w:line="600" w:before="0" w:after="0"/>
        <w:ind w:firstLine="420"/>
        <w:jc w:val="both"/>
      </w:pPr>
      <w:r>
        <w:rPr>
          <w:rFonts w:ascii="仿宋_GB2312" w:hAnsi="仿宋_GB2312" w:eastAsia="仿宋_GB2312"/>
          <w:b w:val="0"/>
          <w:color w:val="000000"/>
          <w:sz w:val="32"/>
        </w:rPr>
        <w:t>现有可公开核实的财务与规模类信息汇总如下：</w:t>
      </w:r>
    </w:p>
    <w:tbl>
      <w:tblPr>
        <w:tblStyle w:val="TableGrid"/>
        <w:tblW w:type="auto" w:w="0"/>
        <w:jc w:val="center"/>
        <w:tblLook w:firstColumn="1" w:firstRow="1" w:lastColumn="0" w:lastRow="0" w:noHBand="0" w:noVBand="1" w:val="04A0"/>
      </w:tblPr>
      <w:tblGrid>
        <w:gridCol w:w="2948"/>
        <w:gridCol w:w="2948"/>
        <w:gridCol w:w="2948"/>
      </w:tblGrid>
      <w:tr>
        <w:tc>
          <w:tcPr>
            <w:tcW w:type="dxa" w:w="2608"/>
          </w:tcPr>
          <w:p>
            <w:pPr>
              <w:spacing w:lineRule="exact" w:line="600"/>
              <w:jc w:val="center"/>
            </w:pPr>
            <w:r/>
            <w:r>
              <w:rPr>
                <w:rFonts w:ascii="黑体" w:hAnsi="黑体" w:eastAsia="黑体"/>
                <w:b/>
                <w:color w:val="000000"/>
                <w:sz w:val="32"/>
              </w:rPr>
              <w:t>项目</w:t>
            </w:r>
          </w:p>
        </w:tc>
        <w:tc>
          <w:tcPr>
            <w:tcW w:type="dxa" w:w="3175"/>
          </w:tcPr>
          <w:p>
            <w:pPr>
              <w:spacing w:lineRule="exact" w:line="600"/>
              <w:jc w:val="center"/>
            </w:pPr>
            <w:r/>
            <w:r>
              <w:rPr>
                <w:rFonts w:ascii="黑体" w:hAnsi="黑体" w:eastAsia="黑体"/>
                <w:b/>
                <w:color w:val="000000"/>
                <w:sz w:val="32"/>
              </w:rPr>
              <w:t>数据</w:t>
            </w:r>
          </w:p>
        </w:tc>
        <w:tc>
          <w:tcPr>
            <w:tcW w:type="dxa" w:w="2835"/>
          </w:tcPr>
          <w:p>
            <w:pPr>
              <w:spacing w:lineRule="exact" w:line="600"/>
              <w:jc w:val="center"/>
            </w:pPr>
            <w:r/>
            <w:r>
              <w:rPr>
                <w:rFonts w:ascii="黑体" w:hAnsi="黑体" w:eastAsia="黑体"/>
                <w:b/>
                <w:color w:val="000000"/>
                <w:sz w:val="32"/>
              </w:rPr>
              <w:t>口径/来源</w:t>
            </w:r>
          </w:p>
        </w:tc>
      </w:tr>
      <w:tr>
        <w:tc>
          <w:tcPr>
            <w:tcW w:type="dxa" w:w="2608"/>
          </w:tcPr>
          <w:p>
            <w:pPr>
              <w:spacing w:lineRule="exact" w:line="600"/>
              <w:jc w:val="center"/>
            </w:pPr>
            <w:r/>
            <w:r>
              <w:rPr>
                <w:rFonts w:ascii="仿宋_GB2312" w:hAnsi="仿宋_GB2312" w:eastAsia="仿宋_GB2312"/>
                <w:b w:val="0"/>
                <w:color w:val="000000"/>
                <w:sz w:val="32"/>
              </w:rPr>
              <w:t>注册资本</w:t>
            </w:r>
          </w:p>
        </w:tc>
        <w:tc>
          <w:tcPr>
            <w:tcW w:type="dxa" w:w="3175"/>
          </w:tcPr>
          <w:p>
            <w:pPr>
              <w:spacing w:lineRule="exact" w:line="600"/>
              <w:jc w:val="center"/>
            </w:pPr>
            <w:r/>
            <w:r>
              <w:rPr>
                <w:rFonts w:ascii="仿宋_GB2312" w:hAnsi="仿宋_GB2312" w:eastAsia="仿宋_GB2312"/>
                <w:b w:val="0"/>
                <w:color w:val="000000"/>
                <w:sz w:val="32"/>
              </w:rPr>
              <w:t>5000万元</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608"/>
          </w:tcPr>
          <w:p>
            <w:pPr>
              <w:spacing w:lineRule="exact" w:line="600"/>
              <w:jc w:val="center"/>
            </w:pPr>
            <w:r/>
            <w:r>
              <w:rPr>
                <w:rFonts w:ascii="仿宋_GB2312" w:hAnsi="仿宋_GB2312" w:eastAsia="仿宋_GB2312"/>
                <w:b w:val="0"/>
                <w:color w:val="000000"/>
                <w:sz w:val="32"/>
              </w:rPr>
              <w:t>实缴资本</w:t>
            </w:r>
          </w:p>
        </w:tc>
        <w:tc>
          <w:tcPr>
            <w:tcW w:type="dxa" w:w="3175"/>
          </w:tcPr>
          <w:p>
            <w:pPr>
              <w:spacing w:lineRule="exact" w:line="600"/>
              <w:jc w:val="center"/>
            </w:pPr>
            <w:r/>
            <w:r>
              <w:rPr>
                <w:rFonts w:ascii="仿宋_GB2312" w:hAnsi="仿宋_GB2312" w:eastAsia="仿宋_GB2312"/>
                <w:b w:val="0"/>
                <w:color w:val="000000"/>
                <w:sz w:val="32"/>
              </w:rPr>
              <w:t>3000万元（实缴比例60%）</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608"/>
          </w:tcPr>
          <w:p>
            <w:pPr>
              <w:spacing w:lineRule="exact" w:line="600"/>
              <w:jc w:val="center"/>
            </w:pPr>
            <w:r/>
            <w:r>
              <w:rPr>
                <w:rFonts w:ascii="仿宋_GB2312" w:hAnsi="仿宋_GB2312" w:eastAsia="仿宋_GB2312"/>
                <w:b w:val="0"/>
                <w:color w:val="000000"/>
                <w:sz w:val="32"/>
              </w:rPr>
              <w:t>2025年产值</w:t>
            </w:r>
          </w:p>
        </w:tc>
        <w:tc>
          <w:tcPr>
            <w:tcW w:type="dxa" w:w="3175"/>
          </w:tcPr>
          <w:p>
            <w:pPr>
              <w:spacing w:lineRule="exact" w:line="600"/>
              <w:jc w:val="center"/>
            </w:pPr>
            <w:r/>
            <w:r>
              <w:rPr>
                <w:rFonts w:ascii="仿宋_GB2312" w:hAnsi="仿宋_GB2312" w:eastAsia="仿宋_GB2312"/>
                <w:b w:val="0"/>
                <w:color w:val="000000"/>
                <w:sz w:val="32"/>
              </w:rPr>
              <w:t>突破2亿元</w:t>
            </w:r>
          </w:p>
        </w:tc>
        <w:tc>
          <w:tcPr>
            <w:tcW w:type="dxa" w:w="2835"/>
          </w:tcPr>
          <w:p>
            <w:pPr>
              <w:spacing w:lineRule="exact" w:line="600"/>
              <w:jc w:val="center"/>
            </w:pPr>
            <w:r/>
            <w:r>
              <w:rPr>
                <w:rFonts w:ascii="仿宋_GB2312" w:hAnsi="仿宋_GB2312" w:eastAsia="仿宋_GB2312"/>
                <w:b w:val="0"/>
                <w:color w:val="000000"/>
                <w:sz w:val="32"/>
              </w:rPr>
              <w:t>淄川区政府公开报道</w:t>
            </w:r>
          </w:p>
        </w:tc>
      </w:tr>
      <w:tr>
        <w:tc>
          <w:tcPr>
            <w:tcW w:type="dxa" w:w="2608"/>
          </w:tcPr>
          <w:p>
            <w:pPr>
              <w:spacing w:lineRule="exact" w:line="600"/>
              <w:jc w:val="center"/>
            </w:pPr>
            <w:r/>
            <w:r>
              <w:rPr>
                <w:rFonts w:ascii="仿宋_GB2312" w:hAnsi="仿宋_GB2312" w:eastAsia="仿宋_GB2312"/>
                <w:b w:val="0"/>
                <w:color w:val="000000"/>
                <w:sz w:val="32"/>
              </w:rPr>
              <w:t>员工参保人数</w:t>
            </w:r>
          </w:p>
        </w:tc>
        <w:tc>
          <w:tcPr>
            <w:tcW w:type="dxa" w:w="3175"/>
          </w:tcPr>
          <w:p>
            <w:pPr>
              <w:spacing w:lineRule="exact" w:line="600"/>
              <w:jc w:val="center"/>
            </w:pPr>
            <w:r/>
            <w:r>
              <w:rPr>
                <w:rFonts w:ascii="仿宋_GB2312" w:hAnsi="仿宋_GB2312" w:eastAsia="仿宋_GB2312"/>
                <w:b w:val="0"/>
                <w:color w:val="000000"/>
                <w:sz w:val="32"/>
              </w:rPr>
              <w:t>238人</w:t>
            </w:r>
          </w:p>
        </w:tc>
        <w:tc>
          <w:tcPr>
            <w:tcW w:type="dxa" w:w="2835"/>
          </w:tcPr>
          <w:p>
            <w:pPr>
              <w:spacing w:lineRule="exact" w:line="600"/>
              <w:jc w:val="center"/>
            </w:pPr>
            <w:r/>
            <w:r>
              <w:rPr>
                <w:rFonts w:ascii="仿宋_GB2312" w:hAnsi="仿宋_GB2312" w:eastAsia="仿宋_GB2312"/>
                <w:b w:val="0"/>
                <w:color w:val="000000"/>
                <w:sz w:val="32"/>
              </w:rPr>
              <w:t>工商公示</w:t>
            </w:r>
          </w:p>
        </w:tc>
      </w:tr>
      <w:tr>
        <w:tc>
          <w:tcPr>
            <w:tcW w:type="dxa" w:w="2608"/>
          </w:tcPr>
          <w:p>
            <w:pPr>
              <w:spacing w:lineRule="exact" w:line="600"/>
              <w:jc w:val="center"/>
            </w:pPr>
            <w:r/>
            <w:r>
              <w:rPr>
                <w:rFonts w:ascii="仿宋_GB2312" w:hAnsi="仿宋_GB2312" w:eastAsia="仿宋_GB2312"/>
                <w:b w:val="0"/>
                <w:color w:val="000000"/>
                <w:sz w:val="32"/>
              </w:rPr>
              <w:t>占地面积</w:t>
            </w:r>
          </w:p>
        </w:tc>
        <w:tc>
          <w:tcPr>
            <w:tcW w:type="dxa" w:w="3175"/>
          </w:tcPr>
          <w:p>
            <w:pPr>
              <w:spacing w:lineRule="exact" w:line="600"/>
              <w:jc w:val="center"/>
            </w:pPr>
            <w:r/>
            <w:r>
              <w:rPr>
                <w:rFonts w:ascii="仿宋_GB2312" w:hAnsi="仿宋_GB2312" w:eastAsia="仿宋_GB2312"/>
                <w:b w:val="0"/>
                <w:color w:val="000000"/>
                <w:sz w:val="32"/>
              </w:rPr>
              <w:t>46800平方米</w:t>
            </w:r>
          </w:p>
        </w:tc>
        <w:tc>
          <w:tcPr>
            <w:tcW w:type="dxa" w:w="2835"/>
          </w:tcPr>
          <w:p>
            <w:pPr>
              <w:spacing w:lineRule="exact" w:line="600"/>
              <w:jc w:val="center"/>
            </w:pPr>
            <w:r/>
            <w:r>
              <w:rPr>
                <w:rFonts w:ascii="仿宋_GB2312" w:hAnsi="仿宋_GB2312" w:eastAsia="仿宋_GB2312"/>
                <w:b w:val="0"/>
                <w:color w:val="000000"/>
                <w:sz w:val="32"/>
              </w:rPr>
              <w:t>公司公开资料</w:t>
            </w:r>
          </w:p>
        </w:tc>
      </w:tr>
      <w:tr>
        <w:tc>
          <w:tcPr>
            <w:tcW w:type="dxa" w:w="2608"/>
          </w:tcPr>
          <w:p>
            <w:pPr>
              <w:spacing w:lineRule="exact" w:line="600"/>
              <w:jc w:val="center"/>
            </w:pPr>
            <w:r/>
            <w:r>
              <w:rPr>
                <w:rFonts w:ascii="仿宋_GB2312" w:hAnsi="仿宋_GB2312" w:eastAsia="仿宋_GB2312"/>
                <w:b w:val="0"/>
                <w:color w:val="000000"/>
                <w:sz w:val="32"/>
              </w:rPr>
              <w:t>厂房面积</w:t>
            </w:r>
          </w:p>
        </w:tc>
        <w:tc>
          <w:tcPr>
            <w:tcW w:type="dxa" w:w="3175"/>
          </w:tcPr>
          <w:p>
            <w:pPr>
              <w:spacing w:lineRule="exact" w:line="600"/>
              <w:jc w:val="center"/>
            </w:pPr>
            <w:r/>
            <w:r>
              <w:rPr>
                <w:rFonts w:ascii="仿宋_GB2312" w:hAnsi="仿宋_GB2312" w:eastAsia="仿宋_GB2312"/>
                <w:b w:val="0"/>
                <w:color w:val="000000"/>
                <w:sz w:val="32"/>
              </w:rPr>
              <w:t>26000平方米</w:t>
            </w:r>
          </w:p>
        </w:tc>
        <w:tc>
          <w:tcPr>
            <w:tcW w:type="dxa" w:w="2835"/>
          </w:tcPr>
          <w:p>
            <w:pPr>
              <w:spacing w:lineRule="exact" w:line="600"/>
              <w:jc w:val="center"/>
            </w:pPr>
            <w:r/>
            <w:r>
              <w:rPr>
                <w:rFonts w:ascii="仿宋_GB2312" w:hAnsi="仿宋_GB2312" w:eastAsia="仿宋_GB2312"/>
                <w:b w:val="0"/>
                <w:color w:val="000000"/>
                <w:sz w:val="32"/>
              </w:rPr>
              <w:t>公司公开资料</w:t>
            </w:r>
          </w:p>
        </w:tc>
      </w:tr>
      <w:tr>
        <w:tc>
          <w:tcPr>
            <w:tcW w:type="dxa" w:w="2608"/>
          </w:tcPr>
          <w:p>
            <w:pPr>
              <w:spacing w:lineRule="exact" w:line="600"/>
              <w:jc w:val="center"/>
            </w:pPr>
            <w:r/>
            <w:r>
              <w:rPr>
                <w:rFonts w:ascii="仿宋_GB2312" w:hAnsi="仿宋_GB2312" w:eastAsia="仿宋_GB2312"/>
                <w:b w:val="0"/>
                <w:color w:val="000000"/>
                <w:sz w:val="32"/>
              </w:rPr>
              <w:t>办公及研发楼</w:t>
            </w:r>
          </w:p>
        </w:tc>
        <w:tc>
          <w:tcPr>
            <w:tcW w:type="dxa" w:w="3175"/>
          </w:tcPr>
          <w:p>
            <w:pPr>
              <w:spacing w:lineRule="exact" w:line="600"/>
              <w:jc w:val="center"/>
            </w:pPr>
            <w:r/>
            <w:r>
              <w:rPr>
                <w:rFonts w:ascii="仿宋_GB2312" w:hAnsi="仿宋_GB2312" w:eastAsia="仿宋_GB2312"/>
                <w:b w:val="0"/>
                <w:color w:val="000000"/>
                <w:sz w:val="32"/>
              </w:rPr>
              <w:t>5600平方米</w:t>
            </w:r>
          </w:p>
        </w:tc>
        <w:tc>
          <w:tcPr>
            <w:tcW w:type="dxa" w:w="2835"/>
          </w:tcPr>
          <w:p>
            <w:pPr>
              <w:spacing w:lineRule="exact" w:line="600"/>
              <w:jc w:val="center"/>
            </w:pPr>
            <w:r/>
            <w:r>
              <w:rPr>
                <w:rFonts w:ascii="仿宋_GB2312" w:hAnsi="仿宋_GB2312" w:eastAsia="仿宋_GB2312"/>
                <w:b w:val="0"/>
                <w:color w:val="000000"/>
                <w:sz w:val="32"/>
              </w:rPr>
              <w:t>公司公开资料</w:t>
            </w:r>
          </w:p>
        </w:tc>
      </w:tr>
      <w:tr>
        <w:tc>
          <w:tcPr>
            <w:tcW w:type="dxa" w:w="2608"/>
          </w:tcPr>
          <w:p>
            <w:pPr>
              <w:spacing w:lineRule="exact" w:line="600"/>
              <w:jc w:val="center"/>
            </w:pPr>
            <w:r/>
            <w:r>
              <w:rPr>
                <w:rFonts w:ascii="仿宋_GB2312" w:hAnsi="仿宋_GB2312" w:eastAsia="仿宋_GB2312"/>
                <w:b w:val="0"/>
                <w:color w:val="000000"/>
                <w:sz w:val="32"/>
              </w:rPr>
              <w:t>营业收入/净利润等</w:t>
            </w:r>
          </w:p>
        </w:tc>
        <w:tc>
          <w:tcPr>
            <w:tcW w:type="dxa" w:w="3175"/>
          </w:tcPr>
          <w:p>
            <w:pPr>
              <w:spacing w:lineRule="exact" w:line="600"/>
              <w:jc w:val="center"/>
            </w:pPr>
            <w:r/>
            <w:r>
              <w:rPr>
                <w:rFonts w:ascii="仿宋_GB2312" w:hAnsi="仿宋_GB2312" w:eastAsia="仿宋_GB2312"/>
                <w:b w:val="0"/>
                <w:color w:val="000000"/>
                <w:sz w:val="32"/>
              </w:rPr>
              <w:t>未公开披露</w:t>
            </w:r>
          </w:p>
        </w:tc>
        <w:tc>
          <w:tcPr>
            <w:tcW w:type="dxa" w:w="2835"/>
          </w:tcPr>
          <w:p>
            <w:pPr>
              <w:spacing w:lineRule="exact" w:line="600"/>
              <w:jc w:val="center"/>
            </w:pPr>
            <w:r/>
            <w:r>
              <w:rPr>
                <w:rFonts w:ascii="仿宋_GB2312" w:hAnsi="仿宋_GB2312" w:eastAsia="仿宋_GB2312"/>
                <w:b w:val="0"/>
                <w:color w:val="000000"/>
                <w:sz w:val="32"/>
              </w:rPr>
              <w:t>—</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净利润与毛利率数据未公开，无法量化。定性判断如下：</w:t>
      </w:r>
    </w:p>
    <w:p>
      <w:pPr>
        <w:spacing w:lineRule="exact" w:line="600" w:before="0" w:after="0"/>
        <w:ind w:firstLine="420"/>
        <w:jc w:val="both"/>
      </w:pPr>
      <w:r>
        <w:rPr>
          <w:rFonts w:ascii="仿宋_GB2312" w:hAnsi="仿宋_GB2312" w:eastAsia="仿宋_GB2312"/>
          <w:b w:val="0"/>
          <w:color w:val="000000"/>
          <w:sz w:val="32"/>
        </w:rPr>
        <w:t>有利因素：一是产品技术含量高，水冷一体机壳与高压开关铸件均属定制化、高精度铸件，毛利率显著高于普通铸造件；二是订单饱和、无需议价让利，公司可主动选择高毛利订单（甚至推掉意向订单），议价地位主动；三是销售费用极低，公司无销售部门，节省了大额市场开拓与销售人员费用；四是享受高新技术企业15%所得税优惠及研发费用加计扣除；五是人均产值约84万元（以2亿元产值、238人测算），在铸造行业中处于较好水平。</w:t>
      </w:r>
    </w:p>
    <w:p>
      <w:pPr>
        <w:spacing w:lineRule="exact" w:line="600" w:before="0" w:after="0"/>
        <w:ind w:firstLine="420"/>
        <w:jc w:val="both"/>
      </w:pPr>
      <w:r>
        <w:rPr>
          <w:rFonts w:ascii="仿宋_GB2312" w:hAnsi="仿宋_GB2312" w:eastAsia="仿宋_GB2312"/>
          <w:b w:val="0"/>
          <w:color w:val="000000"/>
          <w:sz w:val="32"/>
        </w:rPr>
        <w:t>不利因素：一是铝价波动直接影响成本，铸造行业原材料成本占比通常达50%—65%；二是高端进口设备折旧压力大，德马吉、EMCO、马扎克等设备单台价值数百万元乃至上千万元；三是熔炼与热处理为高耗能环节，电价与天然气价格上涨影响成本；四是研发投入较大（22名科研人员含6名教授、5名博士的人力成本可观）。</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为重资产运营模式。固定资产以厂房（26000平方米生产厂房＋5600平方米办公研发楼）与高端进口设备为主，资产原值大、成新率取决于购置年份。德马吉五轴加工中心、EMCO九轴五联动车铣复合中心、海克斯康三坐标测量机等设备通用性好、二手市场流通性较强，具备较好的变现能力与抵押价值，这对融资租赁、抵押担保类业务较为有利。</w:t>
      </w:r>
    </w:p>
    <w:p>
      <w:pPr>
        <w:spacing w:lineRule="exact" w:line="600" w:before="0" w:after="0"/>
        <w:ind w:firstLine="420"/>
        <w:jc w:val="both"/>
      </w:pPr>
      <w:r>
        <w:rPr>
          <w:rFonts w:ascii="仿宋_GB2312" w:hAnsi="仿宋_GB2312" w:eastAsia="仿宋_GB2312"/>
          <w:b w:val="0"/>
          <w:color w:val="000000"/>
          <w:sz w:val="32"/>
        </w:rPr>
        <w:t>存货方面，公司采用以销定产模式，成品库存压力小，但铝锭等原材料需保持一定安全库存，且在产品（铸件毛坯至精加工完成）周期较长。</w:t>
      </w:r>
    </w:p>
    <w:p>
      <w:pPr>
        <w:spacing w:lineRule="exact" w:line="600" w:before="0" w:after="0"/>
        <w:ind w:firstLine="420"/>
        <w:jc w:val="both"/>
      </w:pPr>
      <w:r>
        <w:rPr>
          <w:rFonts w:ascii="仿宋_GB2312" w:hAnsi="仿宋_GB2312" w:eastAsia="仿宋_GB2312"/>
          <w:b w:val="0"/>
          <w:color w:val="000000"/>
          <w:sz w:val="32"/>
        </w:rPr>
        <w:t>应收账款方面，客户为宇通、思源电气、正泰电源等上市公司或大型集团，坏账风险低，但大型客户账期通常较长（3—6个月），且可能采用票据结算，应收类资产占用较大。</w:t>
      </w:r>
    </w:p>
    <w:p>
      <w:pPr>
        <w:spacing w:lineRule="exact" w:line="600" w:before="0" w:after="0"/>
        <w:ind w:firstLine="420"/>
        <w:jc w:val="both"/>
      </w:pPr>
      <w:r>
        <w:rPr>
          <w:rFonts w:ascii="仿宋_GB2312" w:hAnsi="仿宋_GB2312" w:eastAsia="仿宋_GB2312"/>
          <w:b w:val="0"/>
          <w:color w:val="000000"/>
          <w:sz w:val="32"/>
        </w:rPr>
        <w:t>土地资产方面，公司占地46800平方米，若为出让性质工业用地，则具备较好的抵押价值；新建生产基地将进一步增加土地与厂房资产。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负债规模与结构未公开披露。定性分析：</w:t>
      </w:r>
    </w:p>
    <w:p>
      <w:pPr>
        <w:spacing w:lineRule="exact" w:line="600" w:before="0" w:after="0"/>
        <w:ind w:firstLine="420"/>
        <w:jc w:val="both"/>
      </w:pPr>
      <w:r>
        <w:rPr>
          <w:rFonts w:ascii="仿宋_GB2312" w:hAnsi="仿宋_GB2312" w:eastAsia="仿宋_GB2312"/>
          <w:b w:val="0"/>
          <w:color w:val="000000"/>
          <w:sz w:val="32"/>
        </w:rPr>
        <w:t>一是资本结构方面，注册资本5000万元、实缴3000万元，尚有2000万元未实缴，权益资本相对有限，而公司装备投入巨大（多台进口高端设备），推测存在一定规模的设备贷款、融资租赁负债或股东借款。</w:t>
      </w:r>
    </w:p>
    <w:p>
      <w:pPr>
        <w:spacing w:lineRule="exact" w:line="600" w:before="0" w:after="0"/>
        <w:ind w:firstLine="420"/>
        <w:jc w:val="both"/>
      </w:pPr>
      <w:r>
        <w:rPr>
          <w:rFonts w:ascii="仿宋_GB2312" w:hAnsi="仿宋_GB2312" w:eastAsia="仿宋_GB2312"/>
          <w:b w:val="0"/>
          <w:color w:val="000000"/>
          <w:sz w:val="32"/>
        </w:rPr>
        <w:t>二是新增资本开支压力，公司正在选址新建生产基地，土地购置、厂房建设、设备购置将形成大额资金需求，若主要依靠债务融资，将推高资产负债率。这是当前最需关注的财务风险点，也是最明确的融资需求场景。</w:t>
      </w:r>
    </w:p>
    <w:p>
      <w:pPr>
        <w:spacing w:lineRule="exact" w:line="600" w:before="0" w:after="0"/>
        <w:ind w:firstLine="420"/>
        <w:jc w:val="both"/>
      </w:pPr>
      <w:r>
        <w:rPr>
          <w:rFonts w:ascii="仿宋_GB2312" w:hAnsi="仿宋_GB2312" w:eastAsia="仿宋_GB2312"/>
          <w:b w:val="0"/>
          <w:color w:val="000000"/>
          <w:sz w:val="32"/>
        </w:rPr>
        <w:t>三是偿债保障，公司订单饱和至2026年全年、客户信用优良、现金流可预期性较强，为债务偿付提供了较好的经营保障。</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结构性判断：经营活动现金流方面，公司订单饱和、产能满负荷、客户为优质大企业，收入现金含量应较有保障，但需关注大客户账期与票据结算比例对回款节奏的影响；投资活动现金流方面，新建生产基地将带来大额净流出，是未来1—2年现金流的主要压力来源；筹资活动现金流方面，预计需通过银行贷款、融资租赁或股东增资等方式补充建设资金。</w:t>
      </w:r>
    </w:p>
    <w:p>
      <w:pPr>
        <w:spacing w:lineRule="exact" w:line="600" w:before="0" w:after="0"/>
        <w:ind w:firstLine="420"/>
        <w:jc w:val="both"/>
      </w:pPr>
      <w:r>
        <w:rPr>
          <w:rFonts w:ascii="仿宋_GB2312" w:hAnsi="仿宋_GB2312" w:eastAsia="仿宋_GB2312"/>
          <w:b w:val="0"/>
          <w:color w:val="000000"/>
          <w:sz w:val="32"/>
        </w:rPr>
        <w:t>综合判断，公司属于"经营性现金流健康但投资性现金流缺口大"的成长型企业，正处于最需要外部资金支持的扩张窗口期，融资合作时机较为理想。</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企业相比：山东泰展机电员工406人、注册资本3263.98万元且100%实缴，规模最大、治理最规范；山东国岳金刚石员工238人、2025年产值2亿元、注册资本5000万元（实缴3000万元），产值规模明确且客户质量最优；山东圣德智能装备员工约70—100人、注册资本2000万元，规模最小但技术定位最尖。</w:t>
      </w:r>
    </w:p>
    <w:p>
      <w:pPr>
        <w:spacing w:lineRule="exact" w:line="600" w:before="0" w:after="0"/>
        <w:ind w:firstLine="420"/>
        <w:jc w:val="both"/>
      </w:pPr>
      <w:r>
        <w:rPr>
          <w:rFonts w:ascii="仿宋_GB2312" w:hAnsi="仿宋_GB2312" w:eastAsia="仿宋_GB2312"/>
          <w:b w:val="0"/>
          <w:color w:val="000000"/>
          <w:sz w:val="32"/>
        </w:rPr>
        <w:t>三家企业中，国岳金刚石是唯一公开披露产值规模的企业，其2亿元产值与238人员工规模对应的人均产值约84万元，在集群内属较好水平；同时其高端装备配置与高层次人才密度（22名科研人员含6名教授、5名博士）在三家中最为突出。</w:t>
      </w:r>
    </w:p>
    <w:p>
      <w:pPr>
        <w:spacing w:lineRule="exact" w:line="600" w:before="0" w:after="0"/>
        <w:ind w:firstLine="420"/>
        <w:jc w:val="both"/>
      </w:pPr>
      <w:r>
        <w:rPr>
          <w:rFonts w:ascii="仿宋_GB2312" w:hAnsi="仿宋_GB2312" w:eastAsia="仿宋_GB2312"/>
          <w:b w:val="0"/>
          <w:color w:val="000000"/>
          <w:sz w:val="32"/>
        </w:rPr>
        <w:t>与国内铝合金精密铸造同行相比，公司规模属中小型，但在低压反重力铸造工艺、复杂内腔薄壁件成型这一细分技术上具备国内领先水平，且同时打入汽车、电力、石油、军工四大高门槛领域，业务多元性与资质完整度优于多数同规模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公司为有限责任公司，设股东会为权力机构，设执行董事（贾世荣）而非董事会，设监事（贾鑫玉）而非监事会，属于《公司法》框架下适用于股东人数较少、规模较小公司的简化治理结构。</w:t>
      </w:r>
    </w:p>
    <w:p>
      <w:pPr>
        <w:spacing w:lineRule="exact" w:line="600" w:before="0" w:after="0"/>
        <w:ind w:firstLine="420"/>
        <w:jc w:val="both"/>
      </w:pPr>
      <w:r>
        <w:rPr>
          <w:rFonts w:ascii="仿宋_GB2312" w:hAnsi="仿宋_GB2312" w:eastAsia="仿宋_GB2312"/>
          <w:b w:val="0"/>
          <w:color w:val="000000"/>
          <w:sz w:val="32"/>
        </w:rPr>
        <w:t>实际运作中，韩桂云作为第一大股东担任董事长角色主导战略，贾世荣作为执行董事兼总经理负责经营执行，形成两家族分工格局。这种安排的优势是决策链条短、执行效率高，能够快速把握市场机会（如2015年判断轻量化趋势、2020年切入特高压赛道）；劣势是缺乏独立董事与外部监督，重大决策的科学性依赖企业家个人判断，且家族股东之间若出现分歧，可能影响公司稳定。</w:t>
      </w:r>
    </w:p>
    <w:p>
      <w:pPr>
        <w:spacing w:lineRule="exact" w:line="600" w:before="0" w:after="0"/>
        <w:ind w:firstLine="420"/>
        <w:jc w:val="both"/>
      </w:pPr>
      <w:r>
        <w:rPr>
          <w:rFonts w:ascii="仿宋_GB2312" w:hAnsi="仿宋_GB2312" w:eastAsia="仿宋_GB2312"/>
          <w:b w:val="0"/>
          <w:color w:val="000000"/>
          <w:sz w:val="32"/>
        </w:rPr>
        <w:t>公司未引入外部机构投资者，无对赌协议等外部约束，经营自主性强，但也意味着缺乏来自资本方的规范化推动。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韩桂云为公司董事长、第一大股东，是公司战略转型的主导者。从其在公开报道中的表述可见，其对行业趋势判断敏锐（2015年判断金属轻量化趋势、2020年前瞻布局特高压）、对产品技术理解深入（能详细解释水冷一体机壳的水道结构与降温原理）、对企业发展节奏把握务实（主动推掉超出产能的订单而非盲目接单）。</w:t>
      </w:r>
    </w:p>
    <w:p>
      <w:pPr>
        <w:spacing w:lineRule="exact" w:line="600" w:before="0" w:after="0"/>
        <w:ind w:firstLine="420"/>
        <w:jc w:val="both"/>
      </w:pPr>
      <w:r>
        <w:rPr>
          <w:rFonts w:ascii="仿宋_GB2312" w:hAnsi="仿宋_GB2312" w:eastAsia="仿宋_GB2312"/>
          <w:b w:val="0"/>
          <w:color w:val="000000"/>
          <w:sz w:val="32"/>
        </w:rPr>
        <w:t>贾世荣为法定代表人、执行董事兼总经理，关联企业3家；贾鑫玉为监事，在公开企业联系信息中亦以"经理"身份出现，负责部分对外事务。</w:t>
      </w:r>
    </w:p>
    <w:p>
      <w:pPr>
        <w:spacing w:lineRule="exact" w:line="600" w:before="0" w:after="0"/>
        <w:ind w:firstLine="420"/>
        <w:jc w:val="both"/>
      </w:pPr>
      <w:r>
        <w:rPr>
          <w:rFonts w:ascii="仿宋_GB2312" w:hAnsi="仿宋_GB2312" w:eastAsia="仿宋_GB2312"/>
          <w:b w:val="0"/>
          <w:color w:val="000000"/>
          <w:sz w:val="32"/>
        </w:rPr>
        <w:t>管理层整体呈现"技术型企业家＋家族核心团队"特征，专业性强、稳定性高，但职业经理人机制尚未建立，管理层的现代化、专业化程度有提升空间。</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了完备的质量、环境、安全管理体系，通过IATF16949、ISO9001、ISO14001、OHSAS18001、国际HSE以及API和军工质量认证，并取得武器装备科研生产单位保密资格。其中军工保密资格的取得，要求企业在人员管理、场所管理、信息管理、涉密载体管理等方面达到国家保密标准，对企业内控水平是极高的外部认证。</w:t>
      </w:r>
    </w:p>
    <w:p>
      <w:pPr>
        <w:spacing w:lineRule="exact" w:line="600" w:before="0" w:after="0"/>
        <w:ind w:firstLine="420"/>
        <w:jc w:val="both"/>
      </w:pPr>
      <w:r>
        <w:rPr>
          <w:rFonts w:ascii="仿宋_GB2312" w:hAnsi="仿宋_GB2312" w:eastAsia="仿宋_GB2312"/>
          <w:b w:val="0"/>
          <w:color w:val="000000"/>
          <w:sz w:val="32"/>
        </w:rPr>
        <w:t>质量控制方面，公司配备海克斯康三坐标测量机、直读光谱仪、X射线实时成像检测、超声波探伤、万能试验机等全套检测设备，实现从原材料成分、铸件内部缺陷到成品尺寸精度的全流程检验，检测能力在同行中处于领先水平。</w:t>
      </w:r>
    </w:p>
    <w:p>
      <w:pPr>
        <w:spacing w:lineRule="exact" w:line="600" w:before="0" w:after="0"/>
        <w:ind w:firstLine="420"/>
        <w:jc w:val="both"/>
      </w:pPr>
      <w:r>
        <w:rPr>
          <w:rFonts w:ascii="仿宋_GB2312" w:hAnsi="仿宋_GB2312" w:eastAsia="仿宋_GB2312"/>
          <w:b w:val="0"/>
          <w:color w:val="000000"/>
          <w:sz w:val="32"/>
        </w:rPr>
        <w:t>内控短板：一是无销售部门，客户管理与市场信息收集职能缺失，可能导致对市场变化反应滞后；二是家族治理下，财务与业务的独立性、关联交易的规范性需要关注；三是注册资本尚有2000万元未实缴，反映资本管理的规划性有待提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238人，人员规模区间200—299人，属中小型制造企业。人才结构方面，公司组建了一支由20多名高层次人才组成的研发团队，科研人员22人，其中教授6人、副教授4人、博士5人、硕士7人。高层次人才占员工总数约9%，其中博士以上及正高职称人员11人，这一人才密度在县域民营铸造企业中极为罕见，是公司最核心的软实力。</w:t>
      </w:r>
    </w:p>
    <w:p>
      <w:pPr>
        <w:spacing w:lineRule="exact" w:line="600" w:before="0" w:after="0"/>
        <w:ind w:firstLine="420"/>
        <w:jc w:val="both"/>
      </w:pPr>
      <w:r>
        <w:rPr>
          <w:rFonts w:ascii="仿宋_GB2312" w:hAnsi="仿宋_GB2312" w:eastAsia="仿宋_GB2312"/>
          <w:b w:val="0"/>
          <w:color w:val="000000"/>
          <w:sz w:val="32"/>
        </w:rPr>
        <w:t>需说明的是，教授、副教授身份的人员可能部分为通过院士工作站、上海交通大学联合研发中心、中国科学院合作等方式柔性引进的外部专家，而非全职员工，这种"柔性引才"模式是中小企业突破人才瓶颈的有效路径，但也意味着技术支撑的稳定性依赖合作关系的持续。</w:t>
      </w:r>
    </w:p>
    <w:p>
      <w:pPr>
        <w:spacing w:lineRule="exact" w:line="600" w:before="0" w:after="0"/>
        <w:ind w:firstLine="420"/>
        <w:jc w:val="both"/>
      </w:pPr>
      <w:r>
        <w:rPr>
          <w:rFonts w:ascii="仿宋_GB2312" w:hAnsi="仿宋_GB2312" w:eastAsia="仿宋_GB2312"/>
          <w:b w:val="0"/>
          <w:color w:val="000000"/>
          <w:sz w:val="32"/>
        </w:rPr>
        <w:t>技能人才方面，五轴五联动、九轴五联动加工中心的操作与编程需要高级数控技师，这类人才在县域市场稀缺且流动性较强，是公司人力资源管理的重点。新建生产基地投用后，人员需求将显著增加，招工与培训压力将同步上升。</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工艺技术壁垒。公司掌握铝合金反重力低压精密铸造核心工艺，自主研发的水冷一体机壳铸造工艺与产品配方达到国内领先水平，能够在不足5厘米厚度的管壁内成型多条精密水道并保证稳定水压与密封性。此类薄壁复杂内腔铸件的成型控制（温度场、凝固顺序、排气、缩松控制）依赖大量试验数据与工艺know-how积累，难以通过设备采购或人员挖角快速复制。</w:t>
      </w:r>
    </w:p>
    <w:p>
      <w:pPr>
        <w:spacing w:lineRule="exact" w:line="600" w:before="0" w:after="0"/>
        <w:ind w:firstLine="420"/>
        <w:jc w:val="both"/>
      </w:pPr>
      <w:r>
        <w:rPr>
          <w:rFonts w:ascii="仿宋_GB2312" w:hAnsi="仿宋_GB2312" w:eastAsia="仿宋_GB2312"/>
          <w:b w:val="0"/>
          <w:color w:val="000000"/>
          <w:sz w:val="32"/>
        </w:rPr>
        <w:t>二是高端装备壁垒。德国德马吉DMU80P/DMU125P五轴五联动、奥地利EMCO HYPERTURN 690九轴五联动、日本马扎克HCN8800-Ⅱ等世界顶级加工设备，加上海克斯康三坐标、OBLF光谱仪、X射线实时成像等检测体系，构成极高的资本投入门槛。同规模企业若要复制该装备体系，需投入数亿元资金。</w:t>
      </w:r>
    </w:p>
    <w:p>
      <w:pPr>
        <w:spacing w:lineRule="exact" w:line="600" w:before="0" w:after="0"/>
        <w:ind w:firstLine="420"/>
        <w:jc w:val="both"/>
      </w:pPr>
      <w:r>
        <w:rPr>
          <w:rFonts w:ascii="仿宋_GB2312" w:hAnsi="仿宋_GB2312" w:eastAsia="仿宋_GB2312"/>
          <w:b w:val="0"/>
          <w:color w:val="000000"/>
          <w:sz w:val="32"/>
        </w:rPr>
        <w:t>三是资质认证壁垒。公司同时持有IATF16949（汽车）、API（石油）、军工质量认证与武器装备科研生产单位保密资格、ISO9001/14001/OHSAS18001/HSE等体系认证，覆盖汽车、石油、军工三大高门槛行业。特别是军工保密资格，审查严格、周期漫长，是进入航空航天与国防供应链的必备通行证，也是公司2026年切入航空发动机机匣、叶轮领域的关键前提。</w:t>
      </w:r>
    </w:p>
    <w:p>
      <w:pPr>
        <w:spacing w:lineRule="exact" w:line="600" w:before="0" w:after="0"/>
        <w:ind w:firstLine="420"/>
        <w:jc w:val="both"/>
      </w:pPr>
      <w:r>
        <w:rPr>
          <w:rFonts w:ascii="仿宋_GB2312" w:hAnsi="仿宋_GB2312" w:eastAsia="仿宋_GB2312"/>
          <w:b w:val="0"/>
          <w:color w:val="000000"/>
          <w:sz w:val="32"/>
        </w:rPr>
        <w:t>四是客户绑定壁垒。公司客户为宇通汽车、思源电气、正泰电源等各领域头部企业。铸件供应商需经历模具开发、样件试制、性能验证、小批量、量产爬坡等长周期认证，客户切换成本极高。公司已形成稳定的头部客户组合，订单可见度高（2026年全年订单锁定）。</w:t>
      </w:r>
    </w:p>
    <w:p>
      <w:pPr>
        <w:spacing w:lineRule="exact" w:line="600" w:before="0" w:after="0"/>
        <w:ind w:firstLine="420"/>
        <w:jc w:val="both"/>
      </w:pPr>
      <w:r>
        <w:rPr>
          <w:rFonts w:ascii="仿宋_GB2312" w:hAnsi="仿宋_GB2312" w:eastAsia="仿宋_GB2312"/>
          <w:b w:val="0"/>
          <w:color w:val="000000"/>
          <w:sz w:val="32"/>
        </w:rPr>
        <w:t>五是产学研平台壁垒。省级技术研发中心、院士工作站、与上海交通大学共建的先进轻合金精密铸造成型技术联合研发中心、与中国科学院的合作关系，构成了持续的外部技术输入通道。22名科研人员（含6名教授、4名副教授、5名博士）的高端人才配置，保障了工艺持续迭代能力。发明专利9项、实用新型专利15项形成知识产权保护。</w:t>
      </w:r>
    </w:p>
    <w:p>
      <w:pPr>
        <w:spacing w:lineRule="exact" w:line="600" w:before="0" w:after="0"/>
        <w:ind w:firstLine="420"/>
        <w:jc w:val="both"/>
      </w:pPr>
      <w:r>
        <w:rPr>
          <w:rFonts w:ascii="仿宋_GB2312" w:hAnsi="仿宋_GB2312" w:eastAsia="仿宋_GB2312"/>
          <w:b w:val="0"/>
          <w:color w:val="000000"/>
          <w:sz w:val="32"/>
        </w:rPr>
        <w:t>六是双赛道抗周期能力。新能源汽车与电力装备两大主业分属不同的需求驱动逻辑：前者受新能源汽车渗透率与商用车电动化驱动，后者受电网投资与特高压建设驱动，二者周期错位，"两条腿走路"显著增强了公司的抗周期能力。这一战略布局（2020年主动开辟第二赛道）体现了管理层的前瞻性。</w:t>
      </w:r>
    </w:p>
    <w:p>
      <w:pPr>
        <w:spacing w:lineRule="exact" w:line="600" w:before="0" w:after="0"/>
        <w:ind w:firstLine="420"/>
        <w:jc w:val="both"/>
      </w:pPr>
      <w:r>
        <w:rPr>
          <w:rFonts w:ascii="仿宋_GB2312" w:hAnsi="仿宋_GB2312" w:eastAsia="仿宋_GB2312"/>
          <w:b w:val="0"/>
          <w:color w:val="000000"/>
          <w:sz w:val="32"/>
        </w:rPr>
        <w:t>七是订单饱和形成的选择权。公司订单锁定至2026年全年、主动推掉意向订单、无需设立销售部门，这种"卖方市场"地位赋予公司在价格、账期、客户选择上的主动权，是最直接的竞争力体现。</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（一）产能瓶颈风险（首要风险）</w:t>
      </w:r>
    </w:p>
    <w:p>
      <w:pPr>
        <w:spacing w:lineRule="exact" w:line="600" w:before="0" w:after="0"/>
        <w:ind w:firstLine="420"/>
        <w:jc w:val="both"/>
      </w:pPr>
      <w:r>
        <w:rPr>
          <w:rFonts w:ascii="仿宋_GB2312" w:hAnsi="仿宋_GB2312" w:eastAsia="仿宋_GB2312"/>
          <w:b w:val="0"/>
          <w:color w:val="000000"/>
          <w:sz w:val="32"/>
        </w:rPr>
        <w:t>这是公司当前面临的最紧迫、最核心的风险。公司因生产场地有限已推掉不少意向订单，董事长明确表示"若产能空间充足，产值有望实现翻倍"。产能瓶颈带来三重危害：一是直接丧失收入与利润增长机会；二是客户为保障供应链安全，可能被迫培育第二供应商，一旦竞争对手通过认证，公司现有份额将被侵蚀；三是长期无法满足客户加急需求，可能损害客户关系与商业信誉。</w:t>
      </w:r>
    </w:p>
    <w:p>
      <w:pPr>
        <w:spacing w:lineRule="exact" w:line="600" w:before="0" w:after="0"/>
        <w:ind w:firstLine="420"/>
        <w:jc w:val="both"/>
      </w:pPr>
      <w:r>
        <w:rPr>
          <w:rFonts w:ascii="仿宋_GB2312" w:hAnsi="仿宋_GB2312" w:eastAsia="仿宋_GB2312"/>
          <w:b w:val="0"/>
          <w:color w:val="000000"/>
          <w:sz w:val="32"/>
        </w:rPr>
        <w:t>虽然公司已在政府帮扶下选址新建生产基地并力争年内建成投用，但新基地建设涉及土地手续、环评审批、建设施工、设备搬迁调试、人员招聘培训等多个环节，任何一环延误都可能导致产能释放晚于预期，而资金到位情况是其中的关键变量。</w:t>
      </w:r>
    </w:p>
    <w:p>
      <w:pPr>
        <w:spacing w:lineRule="exact" w:line="600" w:before="120" w:after="120"/>
        <w:ind w:firstLine="420"/>
        <w:jc w:val="left"/>
      </w:pPr>
      <w:r>
        <w:rPr>
          <w:rFonts w:ascii="楷体_GB2312" w:hAnsi="楷体_GB2312" w:eastAsia="楷体_GB2312"/>
          <w:b w:val="0"/>
          <w:color w:val="000000"/>
          <w:sz w:val="32"/>
        </w:rPr>
        <w:t>（二）行业风险</w:t>
      </w:r>
    </w:p>
    <w:p>
      <w:pPr>
        <w:spacing w:lineRule="exact" w:line="600" w:before="0" w:after="0"/>
        <w:ind w:firstLine="420"/>
        <w:jc w:val="both"/>
      </w:pPr>
      <w:r>
        <w:rPr>
          <w:rFonts w:ascii="仿宋_GB2312" w:hAnsi="仿宋_GB2312" w:eastAsia="仿宋_GB2312"/>
          <w:b w:val="0"/>
          <w:color w:val="000000"/>
          <w:sz w:val="32"/>
        </w:rPr>
        <w:t>第一，新能源商用车市场波动风险。公司水冷一体机壳主要应用于新能源大巴车。国内新能源客车市场经历补贴退坡后已趋于成熟，市场容量增长相对有限，且高度依赖公交系统采购与出口，需求波动性较大。若下游客车产销下滑，将直接影响该产品线。</w:t>
      </w:r>
    </w:p>
    <w:p>
      <w:pPr>
        <w:spacing w:lineRule="exact" w:line="600" w:before="0" w:after="0"/>
        <w:ind w:firstLine="420"/>
        <w:jc w:val="both"/>
      </w:pPr>
      <w:r>
        <w:rPr>
          <w:rFonts w:ascii="仿宋_GB2312" w:hAnsi="仿宋_GB2312" w:eastAsia="仿宋_GB2312"/>
          <w:b w:val="0"/>
          <w:color w:val="000000"/>
          <w:sz w:val="32"/>
        </w:rPr>
        <w:t>第二，电网投资周期风险。高压开关铸件需求取决于特高压建设与配网改造投资节奏，具有明显的政策与规划驱动特征。电网投资若出现阶段性收缩，订单将随之波动。</w:t>
      </w:r>
    </w:p>
    <w:p>
      <w:pPr>
        <w:spacing w:lineRule="exact" w:line="600" w:before="0" w:after="0"/>
        <w:ind w:firstLine="420"/>
        <w:jc w:val="both"/>
      </w:pPr>
      <w:r>
        <w:rPr>
          <w:rFonts w:ascii="仿宋_GB2312" w:hAnsi="仿宋_GB2312" w:eastAsia="仿宋_GB2312"/>
          <w:b w:val="0"/>
          <w:color w:val="000000"/>
          <w:sz w:val="32"/>
        </w:rPr>
        <w:t>第三，铝价波动风险。铝锭为主要原材料，价格受国际大宗商品市场影响，若上涨且无法向下游传导，将直接侵蚀毛利。</w:t>
      </w:r>
    </w:p>
    <w:p>
      <w:pPr>
        <w:spacing w:lineRule="exact" w:line="600" w:before="0" w:after="0"/>
        <w:ind w:firstLine="420"/>
        <w:jc w:val="both"/>
      </w:pPr>
      <w:r>
        <w:rPr>
          <w:rFonts w:ascii="仿宋_GB2312" w:hAnsi="仿宋_GB2312" w:eastAsia="仿宋_GB2312"/>
          <w:b w:val="0"/>
          <w:color w:val="000000"/>
          <w:sz w:val="32"/>
        </w:rPr>
        <w:t>第四，行业竞争加剧。铝合金精密铸造行业进入者众多，随着新能源与电力装备需求增长，头部铸造企业与汽车零部件集团正加速布局，公司作为中小型企业面临规模化竞争压力。</w:t>
      </w:r>
    </w:p>
    <w:p>
      <w:pPr>
        <w:spacing w:lineRule="exact" w:line="600" w:before="120" w:after="120"/>
        <w:ind w:firstLine="420"/>
        <w:jc w:val="left"/>
      </w:pPr>
      <w:r>
        <w:rPr>
          <w:rFonts w:ascii="楷体_GB2312" w:hAnsi="楷体_GB2312" w:eastAsia="楷体_GB2312"/>
          <w:b w:val="0"/>
          <w:color w:val="000000"/>
          <w:sz w:val="32"/>
        </w:rPr>
        <w:t>（三）经营风险</w:t>
      </w:r>
    </w:p>
    <w:p>
      <w:pPr>
        <w:spacing w:lineRule="exact" w:line="600" w:before="0" w:after="0"/>
        <w:ind w:firstLine="420"/>
        <w:jc w:val="both"/>
      </w:pPr>
      <w:r>
        <w:rPr>
          <w:rFonts w:ascii="仿宋_GB2312" w:hAnsi="仿宋_GB2312" w:eastAsia="仿宋_GB2312"/>
          <w:b w:val="0"/>
          <w:color w:val="000000"/>
          <w:sz w:val="32"/>
        </w:rPr>
        <w:t>第一，客户集中度风险。主要收入来自宇通、思源电气、正泰电源等少数头部客户，单一客户的采购策略调整、降价要求或产能内化，都可能造成重大影响。</w:t>
      </w:r>
    </w:p>
    <w:p>
      <w:pPr>
        <w:spacing w:lineRule="exact" w:line="600" w:before="0" w:after="0"/>
        <w:ind w:firstLine="420"/>
        <w:jc w:val="both"/>
      </w:pPr>
      <w:r>
        <w:rPr>
          <w:rFonts w:ascii="仿宋_GB2312" w:hAnsi="仿宋_GB2312" w:eastAsia="仿宋_GB2312"/>
          <w:b w:val="0"/>
          <w:color w:val="000000"/>
          <w:sz w:val="32"/>
        </w:rPr>
        <w:t>第二，无销售部门带来的市场开拓能力缺失。在订单饱和期这是优势，但一旦需求转弱，公司缺乏主动获客的组织能力与渠道储备，转型响应会很被动。这是一个"顺周期优势、逆周期劣势"的结构性问题。</w:t>
      </w:r>
    </w:p>
    <w:p>
      <w:pPr>
        <w:spacing w:lineRule="exact" w:line="600" w:before="0" w:after="0"/>
        <w:ind w:firstLine="420"/>
        <w:jc w:val="both"/>
      </w:pPr>
      <w:r>
        <w:rPr>
          <w:rFonts w:ascii="仿宋_GB2312" w:hAnsi="仿宋_GB2312" w:eastAsia="仿宋_GB2312"/>
          <w:b w:val="0"/>
          <w:color w:val="000000"/>
          <w:sz w:val="32"/>
        </w:rPr>
        <w:t>第三，新赛道拓展风险。2026年进军航空航天精密加工（叶轮、航空发动机机匣），该领域技术要求、认证门槛、客户体系与现有业务差异较大，认证周期长（通常3—5年），前期投入大而回报周期长，存在投入产出不及预期的风险。</w:t>
      </w:r>
    </w:p>
    <w:p>
      <w:pPr>
        <w:spacing w:lineRule="exact" w:line="600" w:before="0" w:after="0"/>
        <w:ind w:firstLine="420"/>
        <w:jc w:val="both"/>
      </w:pPr>
      <w:r>
        <w:rPr>
          <w:rFonts w:ascii="仿宋_GB2312" w:hAnsi="仿宋_GB2312" w:eastAsia="仿宋_GB2312"/>
          <w:b w:val="0"/>
          <w:color w:val="000000"/>
          <w:sz w:val="32"/>
        </w:rPr>
        <w:t>第四，关键人员依赖风险。技术积累高度依赖以韩桂云为核心的管理团队与22人研发团队，其中部分高层次人才为柔性引进，稳定性存在不确定性。</w:t>
      </w:r>
    </w:p>
    <w:p>
      <w:pPr>
        <w:spacing w:lineRule="exact" w:line="600" w:before="120" w:after="120"/>
        <w:ind w:firstLine="420"/>
        <w:jc w:val="left"/>
      </w:pPr>
      <w:r>
        <w:rPr>
          <w:rFonts w:ascii="楷体_GB2312" w:hAnsi="楷体_GB2312" w:eastAsia="楷体_GB2312"/>
          <w:b w:val="0"/>
          <w:color w:val="000000"/>
          <w:sz w:val="32"/>
        </w:rPr>
        <w:t>（四）财务风险</w:t>
      </w:r>
    </w:p>
    <w:p>
      <w:pPr>
        <w:spacing w:lineRule="exact" w:line="600" w:before="0" w:after="0"/>
        <w:ind w:firstLine="420"/>
        <w:jc w:val="both"/>
      </w:pPr>
      <w:r>
        <w:rPr>
          <w:rFonts w:ascii="仿宋_GB2312" w:hAnsi="仿宋_GB2312" w:eastAsia="仿宋_GB2312"/>
          <w:b w:val="0"/>
          <w:color w:val="000000"/>
          <w:sz w:val="32"/>
        </w:rPr>
        <w:t>第一，大额资本开支带来的资金链风险。新建生产基地需要土地、厂房、设备的巨额投入，若融资安排不当或建设超预算，可能造成资金链紧张。这是未来1—2年最需要监控的财务风险。</w:t>
      </w:r>
    </w:p>
    <w:p>
      <w:pPr>
        <w:spacing w:lineRule="exact" w:line="600" w:before="0" w:after="0"/>
        <w:ind w:firstLine="420"/>
        <w:jc w:val="both"/>
      </w:pPr>
      <w:r>
        <w:rPr>
          <w:rFonts w:ascii="仿宋_GB2312" w:hAnsi="仿宋_GB2312" w:eastAsia="仿宋_GB2312"/>
          <w:b w:val="0"/>
          <w:color w:val="000000"/>
          <w:sz w:val="32"/>
        </w:rPr>
        <w:t>第二，注册资本实缴不足。5000万元注册资本中尚有2000万元未实缴，权益资本补充能力与股东实力需要核实。</w:t>
      </w:r>
    </w:p>
    <w:p>
      <w:pPr>
        <w:spacing w:lineRule="exact" w:line="600" w:before="0" w:after="0"/>
        <w:ind w:firstLine="420"/>
        <w:jc w:val="both"/>
      </w:pPr>
      <w:r>
        <w:rPr>
          <w:rFonts w:ascii="仿宋_GB2312" w:hAnsi="仿宋_GB2312" w:eastAsia="仿宋_GB2312"/>
          <w:b w:val="0"/>
          <w:color w:val="000000"/>
          <w:sz w:val="32"/>
        </w:rPr>
        <w:t>第三，应收账款与票据风险。大型客户账期长、可能采用票据结算，营运资金占用大。</w:t>
      </w:r>
    </w:p>
    <w:p>
      <w:pPr>
        <w:spacing w:lineRule="exact" w:line="600" w:before="0" w:after="0"/>
        <w:ind w:firstLine="420"/>
        <w:jc w:val="both"/>
      </w:pPr>
      <w:r>
        <w:rPr>
          <w:rFonts w:ascii="仿宋_GB2312" w:hAnsi="仿宋_GB2312" w:eastAsia="仿宋_GB2312"/>
          <w:b w:val="0"/>
          <w:color w:val="000000"/>
          <w:sz w:val="32"/>
        </w:rPr>
        <w:t>第四，财务透明度不足。除产值数据外，完整财务报表未公开，外部授信评估缺乏依据。</w:t>
      </w:r>
    </w:p>
    <w:p>
      <w:pPr>
        <w:spacing w:lineRule="exact" w:line="600" w:before="120" w:after="120"/>
        <w:ind w:firstLine="420"/>
        <w:jc w:val="left"/>
      </w:pPr>
      <w:r>
        <w:rPr>
          <w:rFonts w:ascii="楷体_GB2312" w:hAnsi="楷体_GB2312" w:eastAsia="楷体_GB2312"/>
          <w:b w:val="0"/>
          <w:color w:val="000000"/>
          <w:sz w:val="32"/>
        </w:rPr>
        <w:t>（五）合规与法律风险</w:t>
      </w:r>
    </w:p>
    <w:p>
      <w:pPr>
        <w:spacing w:lineRule="exact" w:line="600" w:before="0" w:after="0"/>
        <w:ind w:firstLine="420"/>
        <w:jc w:val="both"/>
      </w:pPr>
      <w:r>
        <w:rPr>
          <w:rFonts w:ascii="仿宋_GB2312" w:hAnsi="仿宋_GB2312" w:eastAsia="仿宋_GB2312"/>
          <w:b w:val="0"/>
          <w:color w:val="000000"/>
          <w:sz w:val="32"/>
        </w:rPr>
        <w:t>第一，环保合规风险。铸造行业属重点排污行业，熔炼废气、粉尘、废砂、噪声等均为环保监管重点，山东省环保标准较为严格，若环保设施不达标可能面临停产整改。</w:t>
      </w:r>
    </w:p>
    <w:p>
      <w:pPr>
        <w:spacing w:lineRule="exact" w:line="600" w:before="0" w:after="0"/>
        <w:ind w:firstLine="420"/>
        <w:jc w:val="both"/>
      </w:pPr>
      <w:r>
        <w:rPr>
          <w:rFonts w:ascii="仿宋_GB2312" w:hAnsi="仿宋_GB2312" w:eastAsia="仿宋_GB2312"/>
          <w:b w:val="0"/>
          <w:color w:val="000000"/>
          <w:sz w:val="32"/>
        </w:rPr>
        <w:t>第二，安全生产风险。高温熔炼、金属液浇注属高危作业，一旦发生安全事故将面临停产整顿与行政处罚。</w:t>
      </w:r>
    </w:p>
    <w:p>
      <w:pPr>
        <w:spacing w:lineRule="exact" w:line="600" w:before="0" w:after="0"/>
        <w:ind w:firstLine="420"/>
        <w:jc w:val="both"/>
      </w:pPr>
      <w:r>
        <w:rPr>
          <w:rFonts w:ascii="仿宋_GB2312" w:hAnsi="仿宋_GB2312" w:eastAsia="仿宋_GB2312"/>
          <w:b w:val="0"/>
          <w:color w:val="000000"/>
          <w:sz w:val="32"/>
        </w:rPr>
        <w:t>第三，保密合规风险。公司持有武器装备科研生产单位保密资格，需持续满足国家保密管理要求，若发生泄密事件将面临严重后果并可能丧失军工资质。</w:t>
      </w:r>
    </w:p>
    <w:p>
      <w:pPr>
        <w:spacing w:lineRule="exact" w:line="600" w:before="0" w:after="0"/>
        <w:ind w:firstLine="420"/>
        <w:jc w:val="both"/>
      </w:pPr>
      <w:r>
        <w:rPr>
          <w:rFonts w:ascii="仿宋_GB2312" w:hAnsi="仿宋_GB2312" w:eastAsia="仿宋_GB2312"/>
          <w:b w:val="0"/>
          <w:color w:val="000000"/>
          <w:sz w:val="32"/>
        </w:rPr>
        <w:t>第四，新基地建设合规风险。新项目需依法办理土地、规划、环评、能评、安评等手续，任何一项未落实都可能导致项目延期或被叫停。</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已采取的应对措施包括：一是主动扩产，在淄川区政府企业服务专班帮扶下选址新建生产基地，区政府已将"解决国岳金刚石发展空间问题"列入全区工业企业困难问题台账并实行"领导挂包、部门负责"闭环机制，政府支持力度大，为产能瓶颈的化解提供了有力保障；二是"两条腿走路"的双赛道战略，以新能源汽车与电力装备的周期错位对冲单一行业波动；三是主动开辟航空航天第三赛道，进一步分散风险并向高附加值领域升级；四是通过省级技术研发中心、院士工作站、上海交大联合研发中心等平台持续投入研发，维持技术领先；五是构建覆盖汽车、石油、军工的全资质体系，保持多领域市场准入能力；六是以严苛的全流程检测体系（三坐标、光谱、探伤、X射线）控制质量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（一）核心融资需求判断</w:t>
      </w:r>
    </w:p>
    <w:p>
      <w:pPr>
        <w:spacing w:lineRule="exact" w:line="600" w:before="0" w:after="0"/>
        <w:ind w:firstLine="420"/>
        <w:jc w:val="both"/>
      </w:pPr>
      <w:r>
        <w:rPr>
          <w:rFonts w:ascii="仿宋_GB2312" w:hAnsi="仿宋_GB2312" w:eastAsia="仿宋_GB2312"/>
          <w:b w:val="0"/>
          <w:color w:val="000000"/>
          <w:sz w:val="32"/>
        </w:rPr>
        <w:t>公司当前的融资需求极为明确且紧迫：新建生产基地的建设资金。这是解决其产能瓶颈、实现产值翻倍的关键，也是政府重点帮扶的事项。据董事长表述，公司正在选址新建生产基地，力争年内建成投用。土地购置、厂房建设、设备购置三项合计预计需要较大规模资金投入。同时，产能扩张后营运资金需求（原材料采购、在产品占用、应收账款）也将同步放大。</w:t>
      </w:r>
    </w:p>
    <w:p>
      <w:pPr>
        <w:spacing w:lineRule="exact" w:line="600" w:before="0" w:after="0"/>
        <w:ind w:firstLine="420"/>
        <w:jc w:val="both"/>
      </w:pPr>
      <w:r>
        <w:rPr>
          <w:rFonts w:ascii="仿宋_GB2312" w:hAnsi="仿宋_GB2312" w:eastAsia="仿宋_GB2312"/>
          <w:b w:val="0"/>
          <w:color w:val="000000"/>
          <w:sz w:val="32"/>
        </w:rPr>
        <w:t>公司作为2025年产值2亿元、订单饱和至2026年全年、客户为宇通与思源电气等上市公司的优质制造企业，属于"有真实场景、有可靠还款来源、有明确扩张逻辑"的理想融资客户，建议山东投资将其列为重点营销对象。</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应收账款质量为集群内最优：债务人包括宇通客车（全球客车龙头）、思源电气（A股上市公司002028）、正泰电源（正泰集团成员）等，均为大型上市公司或集团企业，付款能力强、信用记录良好、应收账款真实性易于核验。</w:t>
      </w:r>
    </w:p>
    <w:p>
      <w:pPr>
        <w:spacing w:lineRule="exact" w:line="600" w:before="0" w:after="0"/>
        <w:ind w:firstLine="420"/>
        <w:jc w:val="both"/>
      </w:pPr>
      <w:r>
        <w:rPr>
          <w:rFonts w:ascii="仿宋_GB2312" w:hAnsi="仿宋_GB2312" w:eastAsia="仿宋_GB2312"/>
          <w:b w:val="0"/>
          <w:color w:val="000000"/>
          <w:sz w:val="32"/>
        </w:rPr>
        <w:t>建议开展：一是有追索权国内保理，以上述头部客户应收账款为标的，融资比例可提高至80%—85%（因债务人资质优异），期限匹配3—6个月账期；二是针对上市公司客户，可尝试叙做无追索权保理或应收账款资产证券化，帮助公司优化报表；三是若客户以商业承兑汇票结算，可提供票据贴现或票据池服务。该业务应作为最优先的切入产品，风险低、易落地、能快速建立合作关系。</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公司作为宇通、思源电气等核心企业的一级供应商，本身处于大型核心企业的供应链上，可争取纳入这些核心企业主导的供应链金融平台，以核心企业信用为其融资增信。山东投资可与相关核心企业的供应链金融平台对接，为国岳金刚石提供基于确权应付账款的融资。</w:t>
      </w:r>
    </w:p>
    <w:p>
      <w:pPr>
        <w:spacing w:lineRule="exact" w:line="600" w:before="0" w:after="0"/>
        <w:ind w:firstLine="420"/>
        <w:jc w:val="both"/>
      </w:pPr>
      <w:r>
        <w:rPr>
          <w:rFonts w:ascii="仿宋_GB2312" w:hAnsi="仿宋_GB2312" w:eastAsia="仿宋_GB2312"/>
          <w:b w:val="0"/>
          <w:color w:val="000000"/>
          <w:sz w:val="32"/>
        </w:rPr>
        <w:t>同时，国岳金刚石对其上游铝锭供应商、模具供应商、外协加工厂亦形成应付账款，可开展小规模的反向保理，稳定其供应链。但考虑到公司自身规模，此方向优先级低于前者。</w:t>
      </w:r>
    </w:p>
    <w:p>
      <w:pPr>
        <w:spacing w:lineRule="exact" w:line="600" w:before="120" w:after="120"/>
        <w:ind w:firstLine="420"/>
        <w:jc w:val="left"/>
      </w:pPr>
      <w:r>
        <w:rPr>
          <w:rFonts w:ascii="楷体_GB2312" w:hAnsi="楷体_GB2312" w:eastAsia="楷体_GB2312"/>
          <w:b w:val="0"/>
          <w:color w:val="000000"/>
          <w:sz w:val="32"/>
        </w:rPr>
        <w:t>（四）融资租赁（重点推荐）</w:t>
      </w:r>
    </w:p>
    <w:p>
      <w:pPr>
        <w:spacing w:lineRule="exact" w:line="600" w:before="0" w:after="0"/>
        <w:ind w:firstLine="420"/>
        <w:jc w:val="both"/>
      </w:pPr>
      <w:r>
        <w:rPr>
          <w:rFonts w:ascii="仿宋_GB2312" w:hAnsi="仿宋_GB2312" w:eastAsia="仿宋_GB2312"/>
          <w:b w:val="0"/>
          <w:color w:val="000000"/>
          <w:sz w:val="32"/>
        </w:rPr>
        <w:t>融资租赁是与该公司协同价值最高的产品，理由有三：</w:t>
      </w:r>
    </w:p>
    <w:p>
      <w:pPr>
        <w:spacing w:lineRule="exact" w:line="600" w:before="0" w:after="0"/>
        <w:ind w:firstLine="420"/>
        <w:jc w:val="both"/>
      </w:pPr>
      <w:r>
        <w:rPr>
          <w:rFonts w:ascii="仿宋_GB2312" w:hAnsi="仿宋_GB2312" w:eastAsia="仿宋_GB2312"/>
          <w:b w:val="0"/>
          <w:color w:val="000000"/>
          <w:sz w:val="32"/>
        </w:rPr>
        <w:t>第一，存量设备回租空间大。公司拥有德马吉DMU80P/DMU125P、EMCO HYPERTURN 690、马扎克HCN8800-Ⅱ、海克斯康三坐标等大量高价值进口设备，单台价值高、二手市场流通性好、估值容易、处置变现能力强，是融资租赁最优质的标的物。通过售后回租可一次性释放较大规模资金，直接用于新基地建设，且无需公司提供额外抵押。</w:t>
      </w:r>
    </w:p>
    <w:p>
      <w:pPr>
        <w:spacing w:lineRule="exact" w:line="600" w:before="0" w:after="0"/>
        <w:ind w:firstLine="420"/>
        <w:jc w:val="both"/>
      </w:pPr>
      <w:r>
        <w:rPr>
          <w:rFonts w:ascii="仿宋_GB2312" w:hAnsi="仿宋_GB2312" w:eastAsia="仿宋_GB2312"/>
          <w:b w:val="0"/>
          <w:color w:val="000000"/>
          <w:sz w:val="32"/>
        </w:rPr>
        <w:t>第二，新增设备直租需求明确。新建生产基地必然配套采购低压铸造机、加工中心、检测设备等，可通过直接租赁方式解决，将一次性资本开支转化为分期租金，缓解现金流压力，租期建议5年。</w:t>
      </w:r>
    </w:p>
    <w:p>
      <w:pPr>
        <w:spacing w:lineRule="exact" w:line="600" w:before="0" w:after="0"/>
        <w:ind w:firstLine="420"/>
        <w:jc w:val="both"/>
      </w:pPr>
      <w:r>
        <w:rPr>
          <w:rFonts w:ascii="仿宋_GB2312" w:hAnsi="仿宋_GB2312" w:eastAsia="仿宋_GB2312"/>
          <w:b w:val="0"/>
          <w:color w:val="000000"/>
          <w:sz w:val="32"/>
        </w:rPr>
        <w:t>第三，风险缓释效果好。租赁物所有权归租赁公司，叠加设备的强流通性与公司订单饱和带来的稳定现金流，双重保障。</w:t>
      </w:r>
    </w:p>
    <w:p>
      <w:pPr>
        <w:spacing w:lineRule="exact" w:line="600" w:before="0" w:after="0"/>
        <w:ind w:firstLine="420"/>
        <w:jc w:val="both"/>
      </w:pPr>
      <w:r>
        <w:rPr>
          <w:rFonts w:ascii="仿宋_GB2312" w:hAnsi="仿宋_GB2312" w:eastAsia="仿宋_GB2312"/>
          <w:b w:val="0"/>
          <w:color w:val="000000"/>
          <w:sz w:val="32"/>
        </w:rPr>
        <w:t>建议将"存量设备售后回租＋新增设备直租"组合作为主推方案，形成对新基地建设的整体资金支持。</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额贷款额度对公司本体需求而言偏小，不宜作为主要产品。可用于：一是新基地建设期的临时性、过桥性资金需求；二是铝锭等原材料集中采购时的短期备货融资；三是面向其上游中小供应商（模具厂、外协加工厂）的配套融资，以国岳金刚石的采购订单为交易背景。</w:t>
      </w:r>
    </w:p>
    <w:p>
      <w:pPr>
        <w:spacing w:lineRule="exact" w:line="600" w:before="120" w:after="120"/>
        <w:ind w:firstLine="420"/>
        <w:jc w:val="left"/>
      </w:pPr>
      <w:r>
        <w:rPr>
          <w:rFonts w:ascii="楷体_GB2312" w:hAnsi="楷体_GB2312" w:eastAsia="楷体_GB2312"/>
          <w:b w:val="0"/>
          <w:color w:val="000000"/>
          <w:sz w:val="32"/>
        </w:rPr>
        <w:t>（六）业务切入建议与风控要点</w:t>
      </w:r>
    </w:p>
    <w:p>
      <w:pPr>
        <w:spacing w:lineRule="exact" w:line="600" w:before="0" w:after="0"/>
        <w:ind w:firstLine="420"/>
        <w:jc w:val="both"/>
      </w:pPr>
      <w:r>
        <w:rPr>
          <w:rFonts w:ascii="仿宋_GB2312" w:hAnsi="仿宋_GB2312" w:eastAsia="仿宋_GB2312"/>
          <w:b w:val="0"/>
          <w:color w:val="000000"/>
          <w:sz w:val="32"/>
        </w:rPr>
        <w:t>推进顺序建议：第一步以应收账款保理快速切入建立关系（债务人优质、风险最低）；第二步以存量设备售后回租提供大额资金支持新基地建设（协同价值最大）；第三步以新增设备直租持续跟进产能扩张；第四步在项目建成后配套流动资金类产品支持营运资金放大。</w:t>
      </w:r>
    </w:p>
    <w:p>
      <w:pPr>
        <w:spacing w:lineRule="exact" w:line="600" w:before="0" w:after="0"/>
        <w:ind w:firstLine="420"/>
        <w:jc w:val="both"/>
      </w:pPr>
      <w:r>
        <w:rPr>
          <w:rFonts w:ascii="仿宋_GB2312" w:hAnsi="仿宋_GB2312" w:eastAsia="仿宋_GB2312"/>
          <w:b w:val="0"/>
          <w:color w:val="000000"/>
          <w:sz w:val="32"/>
        </w:rPr>
        <w:t>风控要点：一是核实新基地项目的土地、规划、环评等手续完备性与总投资预算，防止项目烂尾；二是核实注册资本2000万元未实缴部分的股东出资安排；三是取得经审计的财务报表，重点核查资产负债率、既有银行借款与融资租赁负债、对外担保情况；四是核查家族股东之间的关联交易与资金往来；五是跟踪2026年订单执行与新增订单情况，验证"订单锁定"的真实性；六是关注环保与安全生产合规记录，防范停产风险；七是租赁物应选择通用性强的进口加工中心，避免选择专用性过强的设备。</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国岳金刚石制品有限公司是淄博市淄川区高端装备制造特色产业集群中经营质态最为健康、客户结构最为优质、成长确定性最强的企业之一。公司自2009年以石油钻头起家，历经2015年向新能源汽车零部件转型、2020年开辟特高压电力装备第二赛道、2026年布局航空航天第三赛道，展现出管理层敏锐的战略判断力与强大的技术转化能力。</w:t>
      </w:r>
    </w:p>
    <w:p>
      <w:pPr>
        <w:spacing w:lineRule="exact" w:line="600" w:before="0" w:after="0"/>
        <w:ind w:firstLine="420"/>
        <w:jc w:val="both"/>
      </w:pPr>
      <w:r>
        <w:rPr>
          <w:rFonts w:ascii="仿宋_GB2312" w:hAnsi="仿宋_GB2312" w:eastAsia="仿宋_GB2312"/>
          <w:b w:val="0"/>
          <w:color w:val="000000"/>
          <w:sz w:val="32"/>
        </w:rPr>
        <w:t>公司的突出优势可概括为"四强"：一是技术强，铝合金反重力低压精密铸造工艺国内领先，薄壁复杂内腔水道成型能力稀缺；二是客户强，宇通汽车、思源电气、正泰电源等头部企业构成的客户组合，信用优良、粘性极高；三是装备强，德马吉、EMCO、马扎克、海克斯康等世界顶级设备配置在县域民企中属顶级水平；四是资质强，同时覆盖汽车IATF16949、石油API、军工保密资格三大高门槛认证体系。</w:t>
      </w:r>
    </w:p>
    <w:p>
      <w:pPr>
        <w:spacing w:lineRule="exact" w:line="600" w:before="0" w:after="0"/>
        <w:ind w:firstLine="420"/>
        <w:jc w:val="both"/>
      </w:pPr>
      <w:r>
        <w:rPr>
          <w:rFonts w:ascii="仿宋_GB2312" w:hAnsi="仿宋_GB2312" w:eastAsia="仿宋_GB2312"/>
          <w:b w:val="0"/>
          <w:color w:val="000000"/>
          <w:sz w:val="32"/>
        </w:rPr>
        <w:t>经营状态上，公司呈现"供不应求"的理想局面：2025年产值突破2亿元，订单自2025年10月起锁定至2026年全年，因场地有限主动推掉意向订单，甚至无需设立销售部门。这在当前制造业普遍面临需求不足的背景下极为难得。</w:t>
      </w:r>
    </w:p>
    <w:p>
      <w:pPr>
        <w:spacing w:lineRule="exact" w:line="600" w:before="0" w:after="0"/>
        <w:ind w:firstLine="420"/>
        <w:jc w:val="both"/>
      </w:pPr>
      <w:r>
        <w:rPr>
          <w:rFonts w:ascii="仿宋_GB2312" w:hAnsi="仿宋_GB2312" w:eastAsia="仿宋_GB2312"/>
          <w:b w:val="0"/>
          <w:color w:val="000000"/>
          <w:sz w:val="32"/>
        </w:rPr>
        <w:t>主要短板为：一是产能严重受限，成为增长的最大瓶颈；二是财务透明度低，除产值外无公开财务数据；三是家族治理，缺乏外部制衡与职业化管理；四是注册资本实缴不足60%；五是无销售部门，逆周期市场开拓能力薄弱。</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据公司规划与公开报道，未来发展路径清晰：</w:t>
      </w:r>
    </w:p>
    <w:p>
      <w:pPr>
        <w:spacing w:lineRule="exact" w:line="600" w:before="0" w:after="0"/>
        <w:ind w:firstLine="420"/>
        <w:jc w:val="both"/>
      </w:pPr>
      <w:r>
        <w:rPr>
          <w:rFonts w:ascii="仿宋_GB2312" w:hAnsi="仿宋_GB2312" w:eastAsia="仿宋_GB2312"/>
          <w:b w:val="0"/>
          <w:color w:val="000000"/>
          <w:sz w:val="32"/>
        </w:rPr>
        <w:t>短期（2026年）：核心任务是新生产基地的选址、建设与投用。据董事长表述，力争年内建成投用，实现产能跨越式提升。若顺利落地，产值有望实现翻倍，即达到4亿元量级。同时启动航空航天精密加工业务，聚焦叶轮制造、航空发动机机匣等产品。</w:t>
      </w:r>
    </w:p>
    <w:p>
      <w:pPr>
        <w:spacing w:lineRule="exact" w:line="600" w:before="0" w:after="0"/>
        <w:ind w:firstLine="420"/>
        <w:jc w:val="both"/>
      </w:pPr>
      <w:r>
        <w:rPr>
          <w:rFonts w:ascii="仿宋_GB2312" w:hAnsi="仿宋_GB2312" w:eastAsia="仿宋_GB2312"/>
          <w:b w:val="0"/>
          <w:color w:val="000000"/>
          <w:sz w:val="32"/>
        </w:rPr>
        <w:t>中期：形成新能源汽车零部件、电力装备铸件、航空航天精密件三大板块并进的业务格局，其中航空航天板块凭借军工保密资格与高端装备优势，有望成为毛利率最高的增长极。</w:t>
      </w:r>
    </w:p>
    <w:p>
      <w:pPr>
        <w:spacing w:lineRule="exact" w:line="600" w:before="0" w:after="0"/>
        <w:ind w:firstLine="420"/>
        <w:jc w:val="both"/>
      </w:pPr>
      <w:r>
        <w:rPr>
          <w:rFonts w:ascii="仿宋_GB2312" w:hAnsi="仿宋_GB2312" w:eastAsia="仿宋_GB2312"/>
          <w:b w:val="0"/>
          <w:color w:val="000000"/>
          <w:sz w:val="32"/>
        </w:rPr>
        <w:t>长期：依托轻合金精密铸造成型技术平台，向更广泛的高端装备领域延伸，并有可能通过规范化改造启动资本市场进程。</w:t>
      </w:r>
    </w:p>
    <w:p>
      <w:pPr>
        <w:spacing w:lineRule="exact" w:line="600" w:before="0" w:after="0"/>
        <w:ind w:firstLine="420"/>
        <w:jc w:val="both"/>
      </w:pPr>
      <w:r>
        <w:rPr>
          <w:rFonts w:ascii="仿宋_GB2312" w:hAnsi="仿宋_GB2312" w:eastAsia="仿宋_GB2312"/>
          <w:b w:val="0"/>
          <w:color w:val="000000"/>
          <w:sz w:val="32"/>
        </w:rPr>
        <w:t>外部环境上，新能源商用车出海、特高压与配网投资加码、国产大飞机与航空发动机自主化、以及淄川区"233攀升行动计划"对特色产业集群与高成长企业的培育政策，共同构成有利支撑。</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新基地建设能否按期建成投用，这直接决定2026—2027年的增长兑现；二是建设资金的筹措与资金链安全；三是航空航天新赛道的认证周期长、投入大，短期难以贡献收入；四是产能释放后能否配套相应的人才招聘与管理能力提升；五是家族治理模式在企业规模翻倍后的适配性；六是环保与安全监管趋严带来的合规成本上升。</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是集群内最具投资与合作价值的标的之一，属于"技术领先、客户优质、订单饱和、产能受限、亟需资金"的典型成长期优质制造企业。其融资需求真实、场景清晰、还款来源可靠，风险主要集中在项目建设执行与财务透明度层面，可通过设备物权、应收账款确权等方式有效缓释。</w:t>
      </w:r>
    </w:p>
    <w:p>
      <w:pPr>
        <w:spacing w:lineRule="exact" w:line="600" w:before="0" w:after="0"/>
        <w:ind w:firstLine="420"/>
        <w:jc w:val="both"/>
      </w:pPr>
      <w:r>
        <w:rPr>
          <w:rFonts w:ascii="仿宋_GB2312" w:hAnsi="仿宋_GB2312" w:eastAsia="仿宋_GB2312"/>
          <w:b w:val="0"/>
          <w:color w:val="000000"/>
          <w:sz w:val="32"/>
        </w:rPr>
        <w:t>对企业的建议：一是全力加快新基地建设，将产能瓶颈的化解作为压倒性任务，同时做好资金预算与融资安排，避免建设中途资金断裂；二是尽快补足注册资本实缴，增强资本实力与外部信用；三是聘请会计师事务所出具审计报告，提升财务透明度，为获取更大规模、更低成本的融资创造条件；四是补建销售与市场部门，即使订单饱和也应保持对市场趋势的主动感知与客户结构优化，避免形成路径依赖；五是审慎推进航空航天新业务，采取"小步快跑、先认证后投产"策略，控制前期投入规模；六是推进管理职业化，引入外部职业经理人或建立现代企业管理制度，匹配企业规模的快速扩张；七是持续强化环保与安全投入，防范停产风险。</w:t>
      </w:r>
    </w:p>
    <w:p>
      <w:pPr>
        <w:spacing w:lineRule="exact" w:line="600" w:before="0" w:after="0"/>
        <w:ind w:firstLine="420"/>
        <w:jc w:val="both"/>
      </w:pPr>
      <w:r>
        <w:rPr>
          <w:rFonts w:ascii="仿宋_GB2312" w:hAnsi="仿宋_GB2312" w:eastAsia="仿宋_GB2312"/>
          <w:b w:val="0"/>
          <w:color w:val="000000"/>
          <w:sz w:val="32"/>
        </w:rPr>
        <w:t>对山东投资的建议：将该企业列为集群内的优先合作对象与重点营销客户。切入策略上，建议以"设备售后回租＋应收账款保理"组合方案深度介入其新基地建设，一次性提供较大规模资金支持，抢占核心合作地位；争取成为其新基地设备采购的独家融资租赁服务商；在业务开展中主动对接淄川区企业服务专班，借力政府帮扶机制，同时获取项目进展的第一手信息。授信条件上，可给予相对优惠的定价以换取长期合作与业务独家性；风控上，重点跟踪新基地项目进度、订单执行情况与财务规范化进展，并设置项目建设进度与资金使用的监控条款。</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工商登记信息（成立时间、统一社会信用代码、法定代表人、注册资本与实缴资本、企业类型、曾用名、经营范围、股东构成、主要人员、参保人数、进出口企业代码）来源于国家企业信用信息公示系统及企查查公开快照。</w:t>
      </w:r>
    </w:p>
    <w:p>
      <w:pPr>
        <w:spacing w:lineRule="exact" w:line="600" w:before="0" w:after="0"/>
        <w:ind w:firstLine="420"/>
        <w:jc w:val="both"/>
      </w:pPr>
      <w:r>
        <w:rPr>
          <w:rFonts w:ascii="仿宋_GB2312" w:hAnsi="仿宋_GB2312" w:eastAsia="仿宋_GB2312"/>
          <w:b w:val="0"/>
          <w:color w:val="000000"/>
          <w:sz w:val="32"/>
        </w:rPr>
        <w:t>经营情况、战略转型历程、产品技术特征、客户名称（宇通汽车、思源电气、正泰电源）、2025年产值突破2亿元、订单锁定情况、新建生产基地规划、进军航空航天领域计划、以及淄川区《工业经济"233"攀升行动计划》与企业服务专班帮扶机制等信息，来源于淄博市淄川区人民政府门户网站2026年4月3日发布的公开报道《国岳金刚石：深耕新能源赛道两款主营产品牵手国内头部企业》。</w:t>
      </w:r>
    </w:p>
    <w:p>
      <w:pPr>
        <w:spacing w:lineRule="exact" w:line="600" w:before="0" w:after="0"/>
        <w:ind w:firstLine="420"/>
        <w:jc w:val="both"/>
      </w:pPr>
      <w:r>
        <w:rPr>
          <w:rFonts w:ascii="仿宋_GB2312" w:hAnsi="仿宋_GB2312" w:eastAsia="仿宋_GB2312"/>
          <w:b w:val="0"/>
          <w:color w:val="000000"/>
          <w:sz w:val="32"/>
        </w:rPr>
        <w:t>厂区面积、生产与检测设备清单、研发人员结构、专利数量、体系认证与资质（IATF16949、ISO9001、ISO14001、OHSAS18001、HSE、API、军工质量认证、武器装备科研生产单位保密资格）、省级技术研发中心与院士工作站、上海交通大学联合研发中心等信息，来源于公司官方网站及公开企业简介资料。</w:t>
      </w:r>
    </w:p>
    <w:p>
      <w:pPr>
        <w:spacing w:lineRule="exact" w:line="600" w:before="0" w:after="0"/>
        <w:ind w:firstLine="420"/>
        <w:jc w:val="both"/>
      </w:pPr>
      <w:r>
        <w:rPr>
          <w:rFonts w:ascii="仿宋_GB2312" w:hAnsi="仿宋_GB2312" w:eastAsia="仿宋_GB2312"/>
          <w:b w:val="0"/>
          <w:color w:val="000000"/>
          <w:sz w:val="32"/>
        </w:rPr>
        <w:t>荣誉资质（山东省政府"第三批战略性新兴产业"企业、"一企一技术"创新企业、2024年国家级高新技术企业、2025年国家级科技型中小企业、2025年省级专精特新中小企业）来源于企查查企业信息页面公开摘要及公司公开资料。</w:t>
      </w:r>
    </w:p>
    <w:p>
      <w:pPr>
        <w:spacing w:lineRule="exact" w:line="600" w:before="0" w:after="0"/>
        <w:ind w:firstLine="420"/>
        <w:jc w:val="both"/>
      </w:pPr>
      <w:r>
        <w:rPr>
          <w:rFonts w:ascii="仿宋_GB2312" w:hAnsi="仿宋_GB2312" w:eastAsia="仿宋_GB2312"/>
          <w:b w:val="0"/>
          <w:color w:val="000000"/>
          <w:sz w:val="32"/>
        </w:rPr>
        <w:t>财务数据方面，除淄川区政府公开报道披露的2025年产值突破2亿元外，公司作为非上市企业未公开披露完整财务报表，本报告未采用任何未经证实的估算数字，相关章节已明确标注"未公开披露"，人均产值等衍生指标已注明为依据公开产值与参保人数测算所得。以上信息统计时点截至2026年8月公开可查范围，建议实际业务合作前以企业提供的审计报告、征信报告及最新工商档案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