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淄博市淄川区高端装备制造特色产业集群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山东泰展机电科技股份有限公司企业分析报告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企业年报、天眼查、企查查工商公开快照，公司官网www.zbtaizhan.com，淄博市淄川区公开报道及品牌数据库等公开渠道，统计时点截至2026年8月公开可查信息。该公司为非上市股份有限公司，营业收入、利润等完整财务数据未公开披露，本报告已如实标注，不作数字推定。）</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泰展机电科技股份有限公司成立于2011年9月22日，统一社会信用代码为913703025830728302，工商注册号370300200021439，组织机构代码58307283-0，法定代表人兼董事长为刘之明，登记机关为淄博市市场监督管理局（非区级市场监管局，反映其为市级重点登记企业），登记状态为存续（在业），最新核准日期为2025年12月24日。</w:t>
      </w:r>
    </w:p>
    <w:p>
      <w:pPr>
        <w:spacing w:lineRule="exact" w:line="600" w:before="0" w:after="0"/>
        <w:ind w:firstLine="420"/>
        <w:jc w:val="both"/>
      </w:pPr>
      <w:r>
        <w:rPr>
          <w:rFonts w:ascii="仿宋_GB2312" w:hAnsi="仿宋_GB2312" w:eastAsia="仿宋_GB2312"/>
          <w:b w:val="0"/>
          <w:color w:val="000000"/>
          <w:sz w:val="32"/>
        </w:rPr>
        <w:t>公司注册地址及生产经营地址为淄博市淄川区眉山路69号（淄川经济开发区），邮政编码255100。企业类型为股份有限公司（非上市、自然人投资或控股），已完成股份制改造，具备后续挂牌或上市的主体资格。注册资本为3263.9794万元人民币，全部为实缴出资，实缴比例100%，资本充实度良好。</w:t>
      </w:r>
    </w:p>
    <w:p>
      <w:pPr>
        <w:spacing w:lineRule="exact" w:line="600" w:before="0" w:after="0"/>
        <w:ind w:firstLine="420"/>
        <w:jc w:val="both"/>
      </w:pPr>
      <w:r>
        <w:rPr>
          <w:rFonts w:ascii="仿宋_GB2312" w:hAnsi="仿宋_GB2312" w:eastAsia="仿宋_GB2312"/>
          <w:b w:val="0"/>
          <w:color w:val="000000"/>
          <w:sz w:val="32"/>
        </w:rPr>
        <w:t>公司官方网址为http://www.zbtaizhan.com，联系电话0533-5419519、0533-5416600，企业邮箱taizhanwxf@163.com、taizhanlzm@163.com。国民经济行业分类归属于汽车制造业—汽车零部件及配件制造，企查查行业细分为汽车制动系统及部件制造，企业规模认定为中型企业，非小微企业。</w:t>
      </w:r>
    </w:p>
    <w:p>
      <w:pPr>
        <w:spacing w:lineRule="exact" w:line="600" w:before="0" w:after="0"/>
        <w:ind w:firstLine="420"/>
        <w:jc w:val="both"/>
      </w:pPr>
      <w:r>
        <w:rPr>
          <w:rFonts w:ascii="仿宋_GB2312" w:hAnsi="仿宋_GB2312" w:eastAsia="仿宋_GB2312"/>
          <w:b w:val="0"/>
          <w:color w:val="000000"/>
          <w:sz w:val="32"/>
        </w:rPr>
        <w:t>经营范围为：汽车零部件、电机、电器、机电产品生产、销售；货物及技术进出口（依法须经批准的项目，经相关部门批准后方可开展经营活动），具备自营进出口权。</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公司股权结构呈现"创始人相对控股＋产业资本参股＋员工持股平台＋核心团队直接持股"的多元格局，股东数量超过25名，是典型的完成股改、为资本市场做准备的股权安排。根据2025年度企业年报公示的股东及出资情况，主要股东出资额如下：</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608"/>
          </w:tcPr>
          <w:p>
            <w:pPr>
              <w:spacing w:lineRule="exact" w:line="600"/>
              <w:jc w:val="center"/>
            </w:pPr>
            <w:r/>
            <w:r>
              <w:rPr>
                <w:rFonts w:ascii="黑体" w:hAnsi="黑体" w:eastAsia="黑体"/>
                <w:b/>
                <w:color w:val="000000"/>
                <w:sz w:val="32"/>
              </w:rPr>
              <w:t>股东（简称）</w:t>
            </w:r>
          </w:p>
        </w:tc>
        <w:tc>
          <w:tcPr>
            <w:tcW w:type="dxa" w:w="2381"/>
          </w:tcPr>
          <w:p>
            <w:pPr>
              <w:spacing w:lineRule="exact" w:line="600"/>
              <w:jc w:val="center"/>
            </w:pPr>
            <w:r/>
            <w:r>
              <w:rPr>
                <w:rFonts w:ascii="黑体" w:hAnsi="黑体" w:eastAsia="黑体"/>
                <w:b/>
                <w:color w:val="000000"/>
                <w:sz w:val="32"/>
              </w:rPr>
              <w:t>认缴/实缴出资额（万元）</w:t>
            </w:r>
          </w:p>
        </w:tc>
        <w:tc>
          <w:tcPr>
            <w:tcW w:type="dxa" w:w="1701"/>
          </w:tcPr>
          <w:p>
            <w:pPr>
              <w:spacing w:lineRule="exact" w:line="600"/>
              <w:jc w:val="center"/>
            </w:pPr>
            <w:r/>
            <w:r>
              <w:rPr>
                <w:rFonts w:ascii="黑体" w:hAnsi="黑体" w:eastAsia="黑体"/>
                <w:b/>
                <w:color w:val="000000"/>
                <w:sz w:val="32"/>
              </w:rPr>
              <w:t>持股比例约（%）</w:t>
            </w:r>
          </w:p>
        </w:tc>
        <w:tc>
          <w:tcPr>
            <w:tcW w:type="dxa" w:w="1928"/>
          </w:tcPr>
          <w:p>
            <w:pPr>
              <w:spacing w:lineRule="exact" w:line="600"/>
              <w:jc w:val="center"/>
            </w:pPr>
            <w:r/>
            <w:r>
              <w:rPr>
                <w:rFonts w:ascii="黑体" w:hAnsi="黑体" w:eastAsia="黑体"/>
                <w:b/>
                <w:color w:val="000000"/>
                <w:sz w:val="32"/>
              </w:rPr>
              <w:t>股东性质</w:t>
            </w:r>
          </w:p>
        </w:tc>
      </w:tr>
      <w:tr>
        <w:tc>
          <w:tcPr>
            <w:tcW w:type="dxa" w:w="2608"/>
          </w:tcPr>
          <w:p>
            <w:pPr>
              <w:spacing w:lineRule="exact" w:line="600"/>
              <w:jc w:val="center"/>
            </w:pPr>
            <w:r/>
            <w:r>
              <w:rPr>
                <w:rFonts w:ascii="仿宋_GB2312" w:hAnsi="仿宋_GB2312" w:eastAsia="仿宋_GB2312"/>
                <w:b w:val="0"/>
                <w:color w:val="000000"/>
                <w:sz w:val="32"/>
              </w:rPr>
              <w:t>刘（刘之明）</w:t>
            </w:r>
          </w:p>
        </w:tc>
        <w:tc>
          <w:tcPr>
            <w:tcW w:type="dxa" w:w="2381"/>
          </w:tcPr>
          <w:p>
            <w:pPr>
              <w:spacing w:lineRule="exact" w:line="600"/>
              <w:jc w:val="center"/>
            </w:pPr>
            <w:r/>
            <w:r>
              <w:rPr>
                <w:rFonts w:ascii="仿宋_GB2312" w:hAnsi="仿宋_GB2312" w:eastAsia="仿宋_GB2312"/>
                <w:b w:val="0"/>
                <w:color w:val="000000"/>
                <w:sz w:val="32"/>
              </w:rPr>
              <w:t>1561.4637</w:t>
            </w:r>
          </w:p>
        </w:tc>
        <w:tc>
          <w:tcPr>
            <w:tcW w:type="dxa" w:w="1701"/>
          </w:tcPr>
          <w:p>
            <w:pPr>
              <w:spacing w:lineRule="exact" w:line="600"/>
              <w:jc w:val="center"/>
            </w:pPr>
            <w:r/>
            <w:r>
              <w:rPr>
                <w:rFonts w:ascii="仿宋_GB2312" w:hAnsi="仿宋_GB2312" w:eastAsia="仿宋_GB2312"/>
                <w:b w:val="0"/>
                <w:color w:val="000000"/>
                <w:sz w:val="32"/>
              </w:rPr>
              <w:t>47.84</w:t>
            </w:r>
          </w:p>
        </w:tc>
        <w:tc>
          <w:tcPr>
            <w:tcW w:type="dxa" w:w="1928"/>
          </w:tcPr>
          <w:p>
            <w:pPr>
              <w:spacing w:lineRule="exact" w:line="600"/>
              <w:jc w:val="center"/>
            </w:pPr>
            <w:r/>
            <w:r>
              <w:rPr>
                <w:rFonts w:ascii="仿宋_GB2312" w:hAnsi="仿宋_GB2312" w:eastAsia="仿宋_GB2312"/>
                <w:b w:val="0"/>
                <w:color w:val="000000"/>
                <w:sz w:val="32"/>
              </w:rPr>
              <w:t>自然人、董事长</w:t>
            </w:r>
          </w:p>
        </w:tc>
      </w:tr>
      <w:tr>
        <w:tc>
          <w:tcPr>
            <w:tcW w:type="dxa" w:w="2608"/>
          </w:tcPr>
          <w:p>
            <w:pPr>
              <w:spacing w:lineRule="exact" w:line="600"/>
              <w:jc w:val="center"/>
            </w:pPr>
            <w:r/>
            <w:r>
              <w:rPr>
                <w:rFonts w:ascii="仿宋_GB2312" w:hAnsi="仿宋_GB2312" w:eastAsia="仿宋_GB2312"/>
                <w:b w:val="0"/>
                <w:color w:val="000000"/>
                <w:sz w:val="32"/>
              </w:rPr>
              <w:t>北汽华达</w:t>
            </w:r>
          </w:p>
        </w:tc>
        <w:tc>
          <w:tcPr>
            <w:tcW w:type="dxa" w:w="2381"/>
          </w:tcPr>
          <w:p>
            <w:pPr>
              <w:spacing w:lineRule="exact" w:line="600"/>
              <w:jc w:val="center"/>
            </w:pPr>
            <w:r/>
            <w:r>
              <w:rPr>
                <w:rFonts w:ascii="仿宋_GB2312" w:hAnsi="仿宋_GB2312" w:eastAsia="仿宋_GB2312"/>
                <w:b w:val="0"/>
                <w:color w:val="000000"/>
                <w:sz w:val="32"/>
              </w:rPr>
              <w:t>343.6426</w:t>
            </w:r>
          </w:p>
        </w:tc>
        <w:tc>
          <w:tcPr>
            <w:tcW w:type="dxa" w:w="1701"/>
          </w:tcPr>
          <w:p>
            <w:pPr>
              <w:spacing w:lineRule="exact" w:line="600"/>
              <w:jc w:val="center"/>
            </w:pPr>
            <w:r/>
            <w:r>
              <w:rPr>
                <w:rFonts w:ascii="仿宋_GB2312" w:hAnsi="仿宋_GB2312" w:eastAsia="仿宋_GB2312"/>
                <w:b w:val="0"/>
                <w:color w:val="000000"/>
                <w:sz w:val="32"/>
              </w:rPr>
              <w:t>10.53</w:t>
            </w:r>
          </w:p>
        </w:tc>
        <w:tc>
          <w:tcPr>
            <w:tcW w:type="dxa" w:w="1928"/>
          </w:tcPr>
          <w:p>
            <w:pPr>
              <w:spacing w:lineRule="exact" w:line="600"/>
              <w:jc w:val="center"/>
            </w:pPr>
            <w:r/>
            <w:r>
              <w:rPr>
                <w:rFonts w:ascii="仿宋_GB2312" w:hAnsi="仿宋_GB2312" w:eastAsia="仿宋_GB2312"/>
                <w:b w:val="0"/>
                <w:color w:val="000000"/>
                <w:sz w:val="32"/>
              </w:rPr>
              <w:t>产业资本</w:t>
            </w:r>
          </w:p>
        </w:tc>
      </w:tr>
      <w:tr>
        <w:tc>
          <w:tcPr>
            <w:tcW w:type="dxa" w:w="2608"/>
          </w:tcPr>
          <w:p>
            <w:pPr>
              <w:spacing w:lineRule="exact" w:line="600"/>
              <w:jc w:val="center"/>
            </w:pPr>
            <w:r/>
            <w:r>
              <w:rPr>
                <w:rFonts w:ascii="仿宋_GB2312" w:hAnsi="仿宋_GB2312" w:eastAsia="仿宋_GB2312"/>
                <w:b w:val="0"/>
                <w:color w:val="000000"/>
                <w:sz w:val="32"/>
              </w:rPr>
              <w:t>聚鑫股权</w:t>
            </w:r>
          </w:p>
        </w:tc>
        <w:tc>
          <w:tcPr>
            <w:tcW w:type="dxa" w:w="2381"/>
          </w:tcPr>
          <w:p>
            <w:pPr>
              <w:spacing w:lineRule="exact" w:line="600"/>
              <w:jc w:val="center"/>
            </w:pPr>
            <w:r/>
            <w:r>
              <w:rPr>
                <w:rFonts w:ascii="仿宋_GB2312" w:hAnsi="仿宋_GB2312" w:eastAsia="仿宋_GB2312"/>
                <w:b w:val="0"/>
                <w:color w:val="000000"/>
                <w:sz w:val="32"/>
              </w:rPr>
              <w:t>305.6426</w:t>
            </w:r>
          </w:p>
        </w:tc>
        <w:tc>
          <w:tcPr>
            <w:tcW w:type="dxa" w:w="1701"/>
          </w:tcPr>
          <w:p>
            <w:pPr>
              <w:spacing w:lineRule="exact" w:line="600"/>
              <w:jc w:val="center"/>
            </w:pPr>
            <w:r/>
            <w:r>
              <w:rPr>
                <w:rFonts w:ascii="仿宋_GB2312" w:hAnsi="仿宋_GB2312" w:eastAsia="仿宋_GB2312"/>
                <w:b w:val="0"/>
                <w:color w:val="000000"/>
                <w:sz w:val="32"/>
              </w:rPr>
              <w:t>9.37</w:t>
            </w:r>
          </w:p>
        </w:tc>
        <w:tc>
          <w:tcPr>
            <w:tcW w:type="dxa" w:w="1928"/>
          </w:tcPr>
          <w:p>
            <w:pPr>
              <w:spacing w:lineRule="exact" w:line="600"/>
              <w:jc w:val="center"/>
            </w:pPr>
            <w:r/>
            <w:r>
              <w:rPr>
                <w:rFonts w:ascii="仿宋_GB2312" w:hAnsi="仿宋_GB2312" w:eastAsia="仿宋_GB2312"/>
                <w:b w:val="0"/>
                <w:color w:val="000000"/>
                <w:sz w:val="32"/>
              </w:rPr>
              <w:t>持股平台</w:t>
            </w:r>
          </w:p>
        </w:tc>
      </w:tr>
      <w:tr>
        <w:tc>
          <w:tcPr>
            <w:tcW w:type="dxa" w:w="2608"/>
          </w:tcPr>
          <w:p>
            <w:pPr>
              <w:spacing w:lineRule="exact" w:line="600"/>
              <w:jc w:val="center"/>
            </w:pPr>
            <w:r/>
            <w:r>
              <w:rPr>
                <w:rFonts w:ascii="仿宋_GB2312" w:hAnsi="仿宋_GB2312" w:eastAsia="仿宋_GB2312"/>
                <w:b w:val="0"/>
                <w:color w:val="000000"/>
                <w:sz w:val="32"/>
              </w:rPr>
              <w:t>李</w:t>
            </w:r>
          </w:p>
        </w:tc>
        <w:tc>
          <w:tcPr>
            <w:tcW w:type="dxa" w:w="2381"/>
          </w:tcPr>
          <w:p>
            <w:pPr>
              <w:spacing w:lineRule="exact" w:line="600"/>
              <w:jc w:val="center"/>
            </w:pPr>
            <w:r/>
            <w:r>
              <w:rPr>
                <w:rFonts w:ascii="仿宋_GB2312" w:hAnsi="仿宋_GB2312" w:eastAsia="仿宋_GB2312"/>
                <w:b w:val="0"/>
                <w:color w:val="000000"/>
                <w:sz w:val="32"/>
              </w:rPr>
              <w:t>272.9127</w:t>
            </w:r>
          </w:p>
        </w:tc>
        <w:tc>
          <w:tcPr>
            <w:tcW w:type="dxa" w:w="1701"/>
          </w:tcPr>
          <w:p>
            <w:pPr>
              <w:spacing w:lineRule="exact" w:line="600"/>
              <w:jc w:val="center"/>
            </w:pPr>
            <w:r/>
            <w:r>
              <w:rPr>
                <w:rFonts w:ascii="仿宋_GB2312" w:hAnsi="仿宋_GB2312" w:eastAsia="仿宋_GB2312"/>
                <w:b w:val="0"/>
                <w:color w:val="000000"/>
                <w:sz w:val="32"/>
              </w:rPr>
              <w:t>8.36</w:t>
            </w:r>
          </w:p>
        </w:tc>
        <w:tc>
          <w:tcPr>
            <w:tcW w:type="dxa" w:w="1928"/>
          </w:tcPr>
          <w:p>
            <w:pPr>
              <w:spacing w:lineRule="exact" w:line="600"/>
              <w:jc w:val="center"/>
            </w:pPr>
            <w:r/>
            <w:r>
              <w:rPr>
                <w:rFonts w:ascii="仿宋_GB2312" w:hAnsi="仿宋_GB2312" w:eastAsia="仿宋_GB2312"/>
                <w:b w:val="0"/>
                <w:color w:val="000000"/>
                <w:sz w:val="32"/>
              </w:rPr>
              <w:t>自然人</w:t>
            </w:r>
          </w:p>
        </w:tc>
      </w:tr>
      <w:tr>
        <w:tc>
          <w:tcPr>
            <w:tcW w:type="dxa" w:w="2608"/>
          </w:tcPr>
          <w:p>
            <w:pPr>
              <w:spacing w:lineRule="exact" w:line="600"/>
              <w:jc w:val="center"/>
            </w:pPr>
            <w:r/>
            <w:r>
              <w:rPr>
                <w:rFonts w:ascii="仿宋_GB2312" w:hAnsi="仿宋_GB2312" w:eastAsia="仿宋_GB2312"/>
                <w:b w:val="0"/>
                <w:color w:val="000000"/>
                <w:sz w:val="32"/>
              </w:rPr>
              <w:t>胡</w:t>
            </w:r>
          </w:p>
        </w:tc>
        <w:tc>
          <w:tcPr>
            <w:tcW w:type="dxa" w:w="2381"/>
          </w:tcPr>
          <w:p>
            <w:pPr>
              <w:spacing w:lineRule="exact" w:line="600"/>
              <w:jc w:val="center"/>
            </w:pPr>
            <w:r/>
            <w:r>
              <w:rPr>
                <w:rFonts w:ascii="仿宋_GB2312" w:hAnsi="仿宋_GB2312" w:eastAsia="仿宋_GB2312"/>
                <w:b w:val="0"/>
                <w:color w:val="000000"/>
                <w:sz w:val="32"/>
              </w:rPr>
              <w:t>166.2534</w:t>
            </w:r>
          </w:p>
        </w:tc>
        <w:tc>
          <w:tcPr>
            <w:tcW w:type="dxa" w:w="1701"/>
          </w:tcPr>
          <w:p>
            <w:pPr>
              <w:spacing w:lineRule="exact" w:line="600"/>
              <w:jc w:val="center"/>
            </w:pPr>
            <w:r/>
            <w:r>
              <w:rPr>
                <w:rFonts w:ascii="仿宋_GB2312" w:hAnsi="仿宋_GB2312" w:eastAsia="仿宋_GB2312"/>
                <w:b w:val="0"/>
                <w:color w:val="000000"/>
                <w:sz w:val="32"/>
              </w:rPr>
              <w:t>5.09</w:t>
            </w:r>
          </w:p>
        </w:tc>
        <w:tc>
          <w:tcPr>
            <w:tcW w:type="dxa" w:w="1928"/>
          </w:tcPr>
          <w:p>
            <w:pPr>
              <w:spacing w:lineRule="exact" w:line="600"/>
              <w:jc w:val="center"/>
            </w:pPr>
            <w:r/>
            <w:r>
              <w:rPr>
                <w:rFonts w:ascii="仿宋_GB2312" w:hAnsi="仿宋_GB2312" w:eastAsia="仿宋_GB2312"/>
                <w:b w:val="0"/>
                <w:color w:val="000000"/>
                <w:sz w:val="32"/>
              </w:rPr>
              <w:t>自然人</w:t>
            </w:r>
          </w:p>
        </w:tc>
      </w:tr>
      <w:tr>
        <w:tc>
          <w:tcPr>
            <w:tcW w:type="dxa" w:w="2608"/>
          </w:tcPr>
          <w:p>
            <w:pPr>
              <w:spacing w:lineRule="exact" w:line="600"/>
              <w:jc w:val="center"/>
            </w:pPr>
            <w:r/>
            <w:r>
              <w:rPr>
                <w:rFonts w:ascii="仿宋_GB2312" w:hAnsi="仿宋_GB2312" w:eastAsia="仿宋_GB2312"/>
                <w:b w:val="0"/>
                <w:color w:val="000000"/>
                <w:sz w:val="32"/>
              </w:rPr>
              <w:t>泰展汇智</w:t>
            </w:r>
          </w:p>
        </w:tc>
        <w:tc>
          <w:tcPr>
            <w:tcW w:type="dxa" w:w="2381"/>
          </w:tcPr>
          <w:p>
            <w:pPr>
              <w:spacing w:lineRule="exact" w:line="600"/>
              <w:jc w:val="center"/>
            </w:pPr>
            <w:r/>
            <w:r>
              <w:rPr>
                <w:rFonts w:ascii="仿宋_GB2312" w:hAnsi="仿宋_GB2312" w:eastAsia="仿宋_GB2312"/>
                <w:b w:val="0"/>
                <w:color w:val="000000"/>
                <w:sz w:val="32"/>
              </w:rPr>
              <w:t>150.2857</w:t>
            </w:r>
          </w:p>
        </w:tc>
        <w:tc>
          <w:tcPr>
            <w:tcW w:type="dxa" w:w="1701"/>
          </w:tcPr>
          <w:p>
            <w:pPr>
              <w:spacing w:lineRule="exact" w:line="600"/>
              <w:jc w:val="center"/>
            </w:pPr>
            <w:r/>
            <w:r>
              <w:rPr>
                <w:rFonts w:ascii="仿宋_GB2312" w:hAnsi="仿宋_GB2312" w:eastAsia="仿宋_GB2312"/>
                <w:b w:val="0"/>
                <w:color w:val="000000"/>
                <w:sz w:val="32"/>
              </w:rPr>
              <w:t>4.60</w:t>
            </w:r>
          </w:p>
        </w:tc>
        <w:tc>
          <w:tcPr>
            <w:tcW w:type="dxa" w:w="1928"/>
          </w:tcPr>
          <w:p>
            <w:pPr>
              <w:spacing w:lineRule="exact" w:line="600"/>
              <w:jc w:val="center"/>
            </w:pPr>
            <w:r/>
            <w:r>
              <w:rPr>
                <w:rFonts w:ascii="仿宋_GB2312" w:hAnsi="仿宋_GB2312" w:eastAsia="仿宋_GB2312"/>
                <w:b w:val="0"/>
                <w:color w:val="000000"/>
                <w:sz w:val="32"/>
              </w:rPr>
              <w:t>员工持股平台</w:t>
            </w:r>
          </w:p>
        </w:tc>
      </w:tr>
      <w:tr>
        <w:tc>
          <w:tcPr>
            <w:tcW w:type="dxa" w:w="2608"/>
          </w:tcPr>
          <w:p>
            <w:pPr>
              <w:spacing w:lineRule="exact" w:line="600"/>
              <w:jc w:val="center"/>
            </w:pPr>
            <w:r/>
            <w:r>
              <w:rPr>
                <w:rFonts w:ascii="仿宋_GB2312" w:hAnsi="仿宋_GB2312" w:eastAsia="仿宋_GB2312"/>
                <w:b w:val="0"/>
                <w:color w:val="000000"/>
                <w:sz w:val="32"/>
              </w:rPr>
              <w:t>泰河管理</w:t>
            </w:r>
          </w:p>
        </w:tc>
        <w:tc>
          <w:tcPr>
            <w:tcW w:type="dxa" w:w="2381"/>
          </w:tcPr>
          <w:p>
            <w:pPr>
              <w:spacing w:lineRule="exact" w:line="600"/>
              <w:jc w:val="center"/>
            </w:pPr>
            <w:r/>
            <w:r>
              <w:rPr>
                <w:rFonts w:ascii="仿宋_GB2312" w:hAnsi="仿宋_GB2312" w:eastAsia="仿宋_GB2312"/>
                <w:b w:val="0"/>
                <w:color w:val="000000"/>
                <w:sz w:val="32"/>
              </w:rPr>
              <w:t>140.0000</w:t>
            </w:r>
          </w:p>
        </w:tc>
        <w:tc>
          <w:tcPr>
            <w:tcW w:type="dxa" w:w="1701"/>
          </w:tcPr>
          <w:p>
            <w:pPr>
              <w:spacing w:lineRule="exact" w:line="600"/>
              <w:jc w:val="center"/>
            </w:pPr>
            <w:r/>
            <w:r>
              <w:rPr>
                <w:rFonts w:ascii="仿宋_GB2312" w:hAnsi="仿宋_GB2312" w:eastAsia="仿宋_GB2312"/>
                <w:b w:val="0"/>
                <w:color w:val="000000"/>
                <w:sz w:val="32"/>
              </w:rPr>
              <w:t>4.29</w:t>
            </w:r>
          </w:p>
        </w:tc>
        <w:tc>
          <w:tcPr>
            <w:tcW w:type="dxa" w:w="1928"/>
          </w:tcPr>
          <w:p>
            <w:pPr>
              <w:spacing w:lineRule="exact" w:line="600"/>
              <w:jc w:val="center"/>
            </w:pPr>
            <w:r/>
            <w:r>
              <w:rPr>
                <w:rFonts w:ascii="仿宋_GB2312" w:hAnsi="仿宋_GB2312" w:eastAsia="仿宋_GB2312"/>
                <w:b w:val="0"/>
                <w:color w:val="000000"/>
                <w:sz w:val="32"/>
              </w:rPr>
              <w:t>员工持股平台</w:t>
            </w:r>
          </w:p>
        </w:tc>
      </w:tr>
      <w:tr>
        <w:tc>
          <w:tcPr>
            <w:tcW w:type="dxa" w:w="2608"/>
          </w:tcPr>
          <w:p>
            <w:pPr>
              <w:spacing w:lineRule="exact" w:line="600"/>
              <w:jc w:val="center"/>
            </w:pPr>
            <w:r/>
            <w:r>
              <w:rPr>
                <w:rFonts w:ascii="仿宋_GB2312" w:hAnsi="仿宋_GB2312" w:eastAsia="仿宋_GB2312"/>
                <w:b w:val="0"/>
                <w:color w:val="000000"/>
                <w:sz w:val="32"/>
              </w:rPr>
              <w:t>刘（另一自然人）</w:t>
            </w:r>
          </w:p>
        </w:tc>
        <w:tc>
          <w:tcPr>
            <w:tcW w:type="dxa" w:w="2381"/>
          </w:tcPr>
          <w:p>
            <w:pPr>
              <w:spacing w:lineRule="exact" w:line="600"/>
              <w:jc w:val="center"/>
            </w:pPr>
            <w:r/>
            <w:r>
              <w:rPr>
                <w:rFonts w:ascii="仿宋_GB2312" w:hAnsi="仿宋_GB2312" w:eastAsia="仿宋_GB2312"/>
                <w:b w:val="0"/>
                <w:color w:val="000000"/>
                <w:sz w:val="32"/>
              </w:rPr>
              <w:t>79.2359</w:t>
            </w:r>
          </w:p>
        </w:tc>
        <w:tc>
          <w:tcPr>
            <w:tcW w:type="dxa" w:w="1701"/>
          </w:tcPr>
          <w:p>
            <w:pPr>
              <w:spacing w:lineRule="exact" w:line="600"/>
              <w:jc w:val="center"/>
            </w:pPr>
            <w:r/>
            <w:r>
              <w:rPr>
                <w:rFonts w:ascii="仿宋_GB2312" w:hAnsi="仿宋_GB2312" w:eastAsia="仿宋_GB2312"/>
                <w:b w:val="0"/>
                <w:color w:val="000000"/>
                <w:sz w:val="32"/>
              </w:rPr>
              <w:t>2.43</w:t>
            </w:r>
          </w:p>
        </w:tc>
        <w:tc>
          <w:tcPr>
            <w:tcW w:type="dxa" w:w="1928"/>
          </w:tcPr>
          <w:p>
            <w:pPr>
              <w:spacing w:lineRule="exact" w:line="600"/>
              <w:jc w:val="center"/>
            </w:pPr>
            <w:r/>
            <w:r>
              <w:rPr>
                <w:rFonts w:ascii="仿宋_GB2312" w:hAnsi="仿宋_GB2312" w:eastAsia="仿宋_GB2312"/>
                <w:b w:val="0"/>
                <w:color w:val="000000"/>
                <w:sz w:val="32"/>
              </w:rPr>
              <w:t>自然人</w:t>
            </w:r>
          </w:p>
        </w:tc>
      </w:tr>
      <w:tr>
        <w:tc>
          <w:tcPr>
            <w:tcW w:type="dxa" w:w="2608"/>
          </w:tcPr>
          <w:p>
            <w:pPr>
              <w:spacing w:lineRule="exact" w:line="600"/>
              <w:jc w:val="center"/>
            </w:pPr>
            <w:r/>
            <w:r>
              <w:rPr>
                <w:rFonts w:ascii="仿宋_GB2312" w:hAnsi="仿宋_GB2312" w:eastAsia="仿宋_GB2312"/>
                <w:b w:val="0"/>
                <w:color w:val="000000"/>
                <w:sz w:val="32"/>
              </w:rPr>
              <w:t>吴</w:t>
            </w:r>
          </w:p>
        </w:tc>
        <w:tc>
          <w:tcPr>
            <w:tcW w:type="dxa" w:w="2381"/>
          </w:tcPr>
          <w:p>
            <w:pPr>
              <w:spacing w:lineRule="exact" w:line="600"/>
              <w:jc w:val="center"/>
            </w:pPr>
            <w:r/>
            <w:r>
              <w:rPr>
                <w:rFonts w:ascii="仿宋_GB2312" w:hAnsi="仿宋_GB2312" w:eastAsia="仿宋_GB2312"/>
                <w:b w:val="0"/>
                <w:color w:val="000000"/>
                <w:sz w:val="32"/>
              </w:rPr>
              <w:t>53.2125</w:t>
            </w:r>
          </w:p>
        </w:tc>
        <w:tc>
          <w:tcPr>
            <w:tcW w:type="dxa" w:w="1701"/>
          </w:tcPr>
          <w:p>
            <w:pPr>
              <w:spacing w:lineRule="exact" w:line="600"/>
              <w:jc w:val="center"/>
            </w:pPr>
            <w:r/>
            <w:r>
              <w:rPr>
                <w:rFonts w:ascii="仿宋_GB2312" w:hAnsi="仿宋_GB2312" w:eastAsia="仿宋_GB2312"/>
                <w:b w:val="0"/>
                <w:color w:val="000000"/>
                <w:sz w:val="32"/>
              </w:rPr>
              <w:t>1.63</w:t>
            </w:r>
          </w:p>
        </w:tc>
        <w:tc>
          <w:tcPr>
            <w:tcW w:type="dxa" w:w="1928"/>
          </w:tcPr>
          <w:p>
            <w:pPr>
              <w:spacing w:lineRule="exact" w:line="600"/>
              <w:jc w:val="center"/>
            </w:pPr>
            <w:r/>
            <w:r>
              <w:rPr>
                <w:rFonts w:ascii="仿宋_GB2312" w:hAnsi="仿宋_GB2312" w:eastAsia="仿宋_GB2312"/>
                <w:b w:val="0"/>
                <w:color w:val="000000"/>
                <w:sz w:val="32"/>
              </w:rPr>
              <w:t>自然人</w:t>
            </w:r>
          </w:p>
        </w:tc>
      </w:tr>
      <w:tr>
        <w:tc>
          <w:tcPr>
            <w:tcW w:type="dxa" w:w="2608"/>
          </w:tcPr>
          <w:p>
            <w:pPr>
              <w:spacing w:lineRule="exact" w:line="600"/>
              <w:jc w:val="center"/>
            </w:pPr>
            <w:r/>
            <w:r>
              <w:rPr>
                <w:rFonts w:ascii="仿宋_GB2312" w:hAnsi="仿宋_GB2312" w:eastAsia="仿宋_GB2312"/>
                <w:b w:val="0"/>
                <w:color w:val="000000"/>
                <w:sz w:val="32"/>
              </w:rPr>
              <w:t>万</w:t>
            </w:r>
          </w:p>
        </w:tc>
        <w:tc>
          <w:tcPr>
            <w:tcW w:type="dxa" w:w="2381"/>
          </w:tcPr>
          <w:p>
            <w:pPr>
              <w:spacing w:lineRule="exact" w:line="600"/>
              <w:jc w:val="center"/>
            </w:pPr>
            <w:r/>
            <w:r>
              <w:rPr>
                <w:rFonts w:ascii="仿宋_GB2312" w:hAnsi="仿宋_GB2312" w:eastAsia="仿宋_GB2312"/>
                <w:b w:val="0"/>
                <w:color w:val="000000"/>
                <w:sz w:val="32"/>
              </w:rPr>
              <w:t>46.3566</w:t>
            </w:r>
          </w:p>
        </w:tc>
        <w:tc>
          <w:tcPr>
            <w:tcW w:type="dxa" w:w="1701"/>
          </w:tcPr>
          <w:p>
            <w:pPr>
              <w:spacing w:lineRule="exact" w:line="600"/>
              <w:jc w:val="center"/>
            </w:pPr>
            <w:r/>
            <w:r>
              <w:rPr>
                <w:rFonts w:ascii="仿宋_GB2312" w:hAnsi="仿宋_GB2312" w:eastAsia="仿宋_GB2312"/>
                <w:b w:val="0"/>
                <w:color w:val="000000"/>
                <w:sz w:val="32"/>
              </w:rPr>
              <w:t>1.42</w:t>
            </w:r>
          </w:p>
        </w:tc>
        <w:tc>
          <w:tcPr>
            <w:tcW w:type="dxa" w:w="1928"/>
          </w:tcPr>
          <w:p>
            <w:pPr>
              <w:spacing w:lineRule="exact" w:line="600"/>
              <w:jc w:val="center"/>
            </w:pPr>
            <w:r/>
            <w:r>
              <w:rPr>
                <w:rFonts w:ascii="仿宋_GB2312" w:hAnsi="仿宋_GB2312" w:eastAsia="仿宋_GB2312"/>
                <w:b w:val="0"/>
                <w:color w:val="000000"/>
                <w:sz w:val="32"/>
              </w:rPr>
              <w:t>自然人</w:t>
            </w:r>
          </w:p>
        </w:tc>
      </w:tr>
      <w:tr>
        <w:tc>
          <w:tcPr>
            <w:tcW w:type="dxa" w:w="2608"/>
          </w:tcPr>
          <w:p>
            <w:pPr>
              <w:spacing w:lineRule="exact" w:line="600"/>
              <w:jc w:val="center"/>
            </w:pPr>
            <w:r/>
            <w:r>
              <w:rPr>
                <w:rFonts w:ascii="仿宋_GB2312" w:hAnsi="仿宋_GB2312" w:eastAsia="仿宋_GB2312"/>
                <w:b w:val="0"/>
                <w:color w:val="000000"/>
                <w:sz w:val="32"/>
              </w:rPr>
              <w:t>其他自然人及聚源企业等</w:t>
            </w:r>
          </w:p>
        </w:tc>
        <w:tc>
          <w:tcPr>
            <w:tcW w:type="dxa" w:w="2381"/>
          </w:tcPr>
          <w:p>
            <w:pPr>
              <w:spacing w:lineRule="exact" w:line="600"/>
              <w:jc w:val="center"/>
            </w:pPr>
            <w:r/>
            <w:r>
              <w:rPr>
                <w:rFonts w:ascii="仿宋_GB2312" w:hAnsi="仿宋_GB2312" w:eastAsia="仿宋_GB2312"/>
                <w:b w:val="0"/>
                <w:color w:val="000000"/>
                <w:sz w:val="32"/>
              </w:rPr>
              <w:t>合计约145</w:t>
            </w:r>
          </w:p>
        </w:tc>
        <w:tc>
          <w:tcPr>
            <w:tcW w:type="dxa" w:w="1701"/>
          </w:tcPr>
          <w:p>
            <w:pPr>
              <w:spacing w:lineRule="exact" w:line="600"/>
              <w:jc w:val="center"/>
            </w:pPr>
            <w:r/>
            <w:r>
              <w:rPr>
                <w:rFonts w:ascii="仿宋_GB2312" w:hAnsi="仿宋_GB2312" w:eastAsia="仿宋_GB2312"/>
                <w:b w:val="0"/>
                <w:color w:val="000000"/>
                <w:sz w:val="32"/>
              </w:rPr>
              <w:t>约4.44</w:t>
            </w:r>
          </w:p>
        </w:tc>
        <w:tc>
          <w:tcPr>
            <w:tcW w:type="dxa" w:w="1928"/>
          </w:tcPr>
          <w:p>
            <w:pPr>
              <w:spacing w:lineRule="exact" w:line="600"/>
              <w:jc w:val="center"/>
            </w:pPr>
            <w:r/>
            <w:r>
              <w:rPr>
                <w:rFonts w:ascii="仿宋_GB2312" w:hAnsi="仿宋_GB2312" w:eastAsia="仿宋_GB2312"/>
                <w:b w:val="0"/>
                <w:color w:val="000000"/>
                <w:sz w:val="32"/>
              </w:rPr>
              <w:t>自然人/机构</w:t>
            </w:r>
          </w:p>
        </w:tc>
      </w:tr>
    </w:tbl>
    <w:p>
      <w:pPr>
        <w:spacing w:lineRule="exact" w:line="600" w:before="0" w:after="0"/>
        <w:ind w:firstLine="420"/>
        <w:jc w:val="both"/>
      </w:pPr>
      <w:r>
        <w:rPr>
          <w:rFonts w:ascii="仿宋_GB2312" w:hAnsi="仿宋_GB2312" w:eastAsia="仿宋_GB2312"/>
          <w:b w:val="0"/>
          <w:color w:val="000000"/>
          <w:sz w:val="32"/>
        </w:rPr>
        <w:t>注：持股比例系以各股东出资额除以注册资本3263.9794万元测算，四舍五入至小数点后两位，与公司实际股东名册可能存在细微差异，以公司登记为准。</w:t>
      </w:r>
    </w:p>
    <w:p>
      <w:pPr>
        <w:spacing w:lineRule="exact" w:line="600" w:before="0" w:after="0"/>
        <w:ind w:firstLine="420"/>
        <w:jc w:val="both"/>
      </w:pPr>
      <w:r>
        <w:rPr>
          <w:rFonts w:ascii="仿宋_GB2312" w:hAnsi="仿宋_GB2312" w:eastAsia="仿宋_GB2312"/>
          <w:b w:val="0"/>
          <w:color w:val="000000"/>
          <w:sz w:val="32"/>
        </w:rPr>
        <w:t>从上表可见，董事长刘之明以1561.4637万元出资、约47.84%的持股比例位居第一大股东，虽未超过50%，但考虑到其兼任法定代表人与董事长，且泰展汇智、泰河管理等员工持股平台通常由其担任执行事务合伙人，其实际可支配表决权预计超过半数，为公司实际控制人，控制权稳定。</w:t>
      </w:r>
    </w:p>
    <w:p>
      <w:pPr>
        <w:spacing w:lineRule="exact" w:line="600" w:before="0" w:after="0"/>
        <w:ind w:firstLine="420"/>
        <w:jc w:val="both"/>
      </w:pPr>
      <w:r>
        <w:rPr>
          <w:rFonts w:ascii="仿宋_GB2312" w:hAnsi="仿宋_GB2312" w:eastAsia="仿宋_GB2312"/>
          <w:b w:val="0"/>
          <w:color w:val="000000"/>
          <w:sz w:val="32"/>
        </w:rPr>
        <w:t>第二大股东"北汽华达"出资343.6426万元、持股约10.53%，自2018年4月18日入股至今保持稳定，属产业资本战略投资。产业股东的引入不仅带来资金，更重要的是打通了整车厂配套渠道，对公司汽车零部件主业形成直接的客户资源支撑，是股权结构中最具战略价值的一环。</w:t>
      </w:r>
    </w:p>
    <w:p>
      <w:pPr>
        <w:spacing w:lineRule="exact" w:line="600" w:before="0" w:after="0"/>
        <w:ind w:firstLine="420"/>
        <w:jc w:val="both"/>
      </w:pPr>
      <w:r>
        <w:rPr>
          <w:rFonts w:ascii="仿宋_GB2312" w:hAnsi="仿宋_GB2312" w:eastAsia="仿宋_GB2312"/>
          <w:b w:val="0"/>
          <w:color w:val="000000"/>
          <w:sz w:val="32"/>
        </w:rPr>
        <w:t>员工持股方面，泰展汇智（150.2857万元）、泰河管理（140万元）两个平台合计持股约8.89%，且早在2021年12月即已完成出资，说明公司较早建立了核心团队的利益绑定机制。此外还有20余名自然人股东直接持股，多为公司中层管理与技术骨干，出资额从1万元至数十万元不等，形成了广泛的员工持股基础。</w:t>
      </w:r>
    </w:p>
    <w:p>
      <w:pPr>
        <w:spacing w:lineRule="exact" w:line="600" w:before="0" w:after="0"/>
        <w:ind w:firstLine="420"/>
        <w:jc w:val="both"/>
      </w:pPr>
      <w:r>
        <w:rPr>
          <w:rFonts w:ascii="仿宋_GB2312" w:hAnsi="仿宋_GB2312" w:eastAsia="仿宋_GB2312"/>
          <w:b w:val="0"/>
          <w:color w:val="000000"/>
          <w:sz w:val="32"/>
        </w:rPr>
        <w:t>值得关注的股权变动是：2024年度年报中显示的股东"泰展机电"（出资304.7857万元）在2025年度年报中已不再出现，取而代之的是2025年6月12日出资305.6426万元的"聚鑫股权"，同时2025年7月新增"聚源企业"出资7.837万元。上述变动反映公司在2025年对持股平台进行了重组与规范，可能与清理交叉持股、为资本运作扫清障碍有关。</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已建立规范的股份公司治理架构，官网明确披露其治理链条为：股东大会→监事会→董事会→董事会秘书→总经理。设置董事会秘书一职是拟上市或已挂牌企业的典型配置，表明公司具备较强的资本市场规范意识。</w:t>
      </w:r>
    </w:p>
    <w:p>
      <w:pPr>
        <w:spacing w:lineRule="exact" w:line="600" w:before="0" w:after="0"/>
        <w:ind w:firstLine="420"/>
        <w:jc w:val="both"/>
      </w:pPr>
      <w:r>
        <w:rPr>
          <w:rFonts w:ascii="仿宋_GB2312" w:hAnsi="仿宋_GB2312" w:eastAsia="仿宋_GB2312"/>
          <w:b w:val="0"/>
          <w:color w:val="000000"/>
          <w:sz w:val="32"/>
        </w:rPr>
        <w:t>业务板块上，公司划分为汽车零部件与工业自动化两大领域：汽车零部件板块涵盖汽车碳罐、汽车底盘悬浮空气泵、EGR阀（废气再循环阀）、电磁阀等产品；工业自动化板块涵盖伺服电机、驱动器等产品。两大板块共享电机与电控技术平台，形成技术协同。</w:t>
      </w:r>
    </w:p>
    <w:p>
      <w:pPr>
        <w:spacing w:lineRule="exact" w:line="600" w:before="0" w:after="0"/>
        <w:ind w:firstLine="420"/>
        <w:jc w:val="both"/>
      </w:pPr>
      <w:r>
        <w:rPr>
          <w:rFonts w:ascii="仿宋_GB2312" w:hAnsi="仿宋_GB2312" w:eastAsia="仿宋_GB2312"/>
          <w:b w:val="0"/>
          <w:color w:val="000000"/>
          <w:sz w:val="32"/>
        </w:rPr>
        <w:t>关联企业方面，企查查显示公司关联企业9家，天眼查显示第一大股东刘之明关联企业9家，涉及持股平台与配套企业。公司近期完成了境外投资项目备案（据企查查信息，相关项目于上一年度10月下半月完成备案批复），显示其正在推进海外主体设立或跨境产能布局。</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2011年9月，公司在淄川经济开发区注册成立，以汽车零部件、电机、电器与机电产品的研发生产销售为主业。</w:t>
      </w:r>
    </w:p>
    <w:p>
      <w:pPr>
        <w:spacing w:lineRule="exact" w:line="600" w:before="0" w:after="0"/>
        <w:ind w:firstLine="420"/>
        <w:jc w:val="both"/>
      </w:pPr>
      <w:r>
        <w:rPr>
          <w:rFonts w:ascii="仿宋_GB2312" w:hAnsi="仿宋_GB2312" w:eastAsia="仿宋_GB2312"/>
          <w:b w:val="0"/>
          <w:color w:val="000000"/>
          <w:sz w:val="32"/>
        </w:rPr>
        <w:t>2016年至2018年，公司完成股份制改造并进行多轮增资扩股，一批中层管理与技术骨干于2016年9月、2018年1月、2018年7月分批入股，形成广泛的员工持股基础；2018年4月，产业资本北汽华达入股，持股约10.53%，公司正式进入整车厂配套体系。</w:t>
      </w:r>
    </w:p>
    <w:p>
      <w:pPr>
        <w:spacing w:lineRule="exact" w:line="600" w:before="0" w:after="0"/>
        <w:ind w:firstLine="420"/>
        <w:jc w:val="both"/>
      </w:pPr>
      <w:r>
        <w:rPr>
          <w:rFonts w:ascii="仿宋_GB2312" w:hAnsi="仿宋_GB2312" w:eastAsia="仿宋_GB2312"/>
          <w:b w:val="0"/>
          <w:color w:val="000000"/>
          <w:sz w:val="32"/>
        </w:rPr>
        <w:t>2021年12月，泰展汇智、泰河管理两个员工持股平台完成出资，公司股权激励体系制度化。</w:t>
      </w:r>
    </w:p>
    <w:p>
      <w:pPr>
        <w:spacing w:lineRule="exact" w:line="600" w:before="0" w:after="0"/>
        <w:ind w:firstLine="420"/>
        <w:jc w:val="both"/>
      </w:pPr>
      <w:r>
        <w:rPr>
          <w:rFonts w:ascii="仿宋_GB2312" w:hAnsi="仿宋_GB2312" w:eastAsia="仿宋_GB2312"/>
          <w:b w:val="0"/>
          <w:color w:val="000000"/>
          <w:sz w:val="32"/>
        </w:rPr>
        <w:t>2024年至2025年，公司完成新一轮股权规范与出资到位，注册资本增至3263.9794万元并实现100%实缴；2025年对持股平台进行重组（聚鑫股权替代原泰展机电平台，新增聚源企业）。</w:t>
      </w:r>
    </w:p>
    <w:p>
      <w:pPr>
        <w:spacing w:lineRule="exact" w:line="600" w:before="0" w:after="0"/>
        <w:ind w:firstLine="420"/>
        <w:jc w:val="both"/>
      </w:pPr>
      <w:r>
        <w:rPr>
          <w:rFonts w:ascii="仿宋_GB2312" w:hAnsi="仿宋_GB2312" w:eastAsia="仿宋_GB2312"/>
          <w:b w:val="0"/>
          <w:color w:val="000000"/>
          <w:sz w:val="32"/>
        </w:rPr>
        <w:t>资质与荣誉方面，公司先后通过IATF16949汽车行业质量管理体系认证、ISO14001环境管理体系认证、OHSAS18001职业健康安全管理体系认证；获评2024年国家级高新技术企业、2025年省级企业技术中心；2025年获中国商业联合会科学技术奖（国家级行业科技奖项）。公开信息中还列示有专精特新"小巨人"企业、制造业单项冠军企业、绿色制造、重点实验室等标签（第三方平台标注，建议以主管部门公示名单核实）。公司还获得《公益慈善企业奖》《科技创新奖》《明星企业》《企业现场管理先进单位》《淄博市创新型高成长企业50强》等荣誉。</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公司定位为"以研发、生产、销售为一体的综合性先进制造企业"，研发活动涵盖机械、电器制造、电子软件及通讯等多个方面，是一家跨机械与电控的复合型汽车零部件企业。</w:t>
      </w:r>
    </w:p>
    <w:p>
      <w:pPr>
        <w:spacing w:lineRule="exact" w:line="600" w:before="0" w:after="0"/>
        <w:ind w:firstLine="420"/>
        <w:jc w:val="both"/>
      </w:pPr>
      <w:r>
        <w:rPr>
          <w:rFonts w:ascii="仿宋_GB2312" w:hAnsi="仿宋_GB2312" w:eastAsia="仿宋_GB2312"/>
          <w:b w:val="0"/>
          <w:color w:val="000000"/>
          <w:sz w:val="32"/>
        </w:rPr>
        <w:t>主营业务为汽车零部件与工业自动化产品的研发制造，产品覆盖汽车碳罐、汽车底盘悬浮空气泵、EGR阀、电磁阀、伺服电机、驱动器等700余种规格。其中汽车底盘悬浮空气泵为公司标志性产品，据集群调研信息，公司是全球第四家、国内首家掌握该类空气泵核心技术的企业，产品用于商用车与乘用车空气悬架系统，是空气悬架国产化的关键零部件。</w:t>
      </w:r>
    </w:p>
    <w:p>
      <w:pPr>
        <w:spacing w:lineRule="exact" w:line="600" w:before="0" w:after="0"/>
        <w:ind w:firstLine="420"/>
        <w:jc w:val="both"/>
      </w:pPr>
      <w:r>
        <w:rPr>
          <w:rFonts w:ascii="仿宋_GB2312" w:hAnsi="仿宋_GB2312" w:eastAsia="仿宋_GB2312"/>
          <w:b w:val="0"/>
          <w:color w:val="000000"/>
          <w:sz w:val="32"/>
        </w:rPr>
        <w:t>汽车碳罐（燃油蒸发排放控制装置）为公司另一主力产品，属于国六排放法规下的必备环保件；EGR阀则用于降低氮氧化物排放，同样受排放法规驱动。公司产品线整体呈现"环保法规驱动＋底盘电动化升级"的双主线特征，成长逻辑较为清晰。</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由汽车零部件与工业自动化两大板块构成。汽车零部件板块为绝对主体，包含燃油系统环保件（碳罐）、排放控制件（EGR阀、电磁阀）、底盘系统件（悬浮空气泵）三条产品线；工业自动化板块为衍生业务，以伺服电机、驱动器为主，既对外销售，也为自身空气泵、阀类产品提供驱动与控制部件，形成纵向技术协同。</w:t>
      </w:r>
    </w:p>
    <w:p>
      <w:pPr>
        <w:spacing w:lineRule="exact" w:line="600" w:before="0" w:after="0"/>
        <w:ind w:firstLine="420"/>
        <w:jc w:val="both"/>
      </w:pPr>
      <w:r>
        <w:rPr>
          <w:rFonts w:ascii="仿宋_GB2312" w:hAnsi="仿宋_GB2312" w:eastAsia="仿宋_GB2312"/>
          <w:b w:val="0"/>
          <w:color w:val="000000"/>
          <w:sz w:val="32"/>
        </w:rPr>
        <w:t>公司为非上市股份公司，未在全国中小企业股份转让系统挂牌，各板块收入占比、毛利率结构未公开披露。从产品重要性与市场关注度判断，汽车碳罐与空气泵应为收入与利润的主要来源。</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汽车底盘悬浮空气泵。用于空气悬架系统的核心气源装置，通过压缩空气调节车身高度与刚度，提升乘坐舒适性与操控稳定性。该产品长期由德国威伯科、大陆等国际巨头垄断，技术难点在于高压小型化压缩机的可靠性、寿命与NVH控制。公司为国内首家、全球第四家掌握该核心技术的企业，在空气悬架加速渗透（由高端车型向20万元级车型下探）的行业背景下，具备显著的国产替代弹性。</w:t>
      </w:r>
    </w:p>
    <w:p>
      <w:pPr>
        <w:spacing w:lineRule="exact" w:line="600" w:before="0" w:after="0"/>
        <w:ind w:firstLine="420"/>
        <w:jc w:val="both"/>
      </w:pPr>
      <w:r>
        <w:rPr>
          <w:rFonts w:ascii="仿宋_GB2312" w:hAnsi="仿宋_GB2312" w:eastAsia="仿宋_GB2312"/>
          <w:b w:val="0"/>
          <w:color w:val="000000"/>
          <w:sz w:val="32"/>
        </w:rPr>
        <w:t>第二，汽车碳罐。用于吸附与回收燃油蒸发产生的油气，是满足国六排放标准的强制性配置。碳罐产品技术相对成熟，但对活性炭材料配方、脱附效率、耐久性要求较高，客户认证周期长、粘性强。</w:t>
      </w:r>
    </w:p>
    <w:p>
      <w:pPr>
        <w:spacing w:lineRule="exact" w:line="600" w:before="0" w:after="0"/>
        <w:ind w:firstLine="420"/>
        <w:jc w:val="both"/>
      </w:pPr>
      <w:r>
        <w:rPr>
          <w:rFonts w:ascii="仿宋_GB2312" w:hAnsi="仿宋_GB2312" w:eastAsia="仿宋_GB2312"/>
          <w:b w:val="0"/>
          <w:color w:val="000000"/>
          <w:sz w:val="32"/>
        </w:rPr>
        <w:t>第三，EGR阀与各类电磁阀。用于发动机废气再循环与流体控制，随排放法规趋严而需求稳定，同时在混合动力车型上仍有配套空间。</w:t>
      </w:r>
    </w:p>
    <w:p>
      <w:pPr>
        <w:spacing w:lineRule="exact" w:line="600" w:before="0" w:after="0"/>
        <w:ind w:firstLine="420"/>
        <w:jc w:val="both"/>
      </w:pPr>
      <w:r>
        <w:rPr>
          <w:rFonts w:ascii="仿宋_GB2312" w:hAnsi="仿宋_GB2312" w:eastAsia="仿宋_GB2312"/>
          <w:b w:val="0"/>
          <w:color w:val="000000"/>
          <w:sz w:val="32"/>
        </w:rPr>
        <w:t>第四，伺服电机与驱动器。面向工业自动化市场，同时作为公司空气泵、电子阀类产品的核心驱动单元，是公司由"机械件供应商"向"机电一体化部件供应商"升级的技术底座。</w:t>
      </w:r>
    </w:p>
    <w:p>
      <w:pPr>
        <w:spacing w:lineRule="exact" w:line="600" w:before="0" w:after="0"/>
        <w:ind w:firstLine="420"/>
        <w:jc w:val="both"/>
      </w:pPr>
      <w:r>
        <w:rPr>
          <w:rFonts w:ascii="仿宋_GB2312" w:hAnsi="仿宋_GB2312" w:eastAsia="仿宋_GB2312"/>
          <w:b w:val="0"/>
          <w:color w:val="000000"/>
          <w:sz w:val="32"/>
        </w:rPr>
        <w:t>公司产品规格合计700余种，产品谱系宽、批量化程度高，是典型的多品种、中大批量汽车零部件制造模式。</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公司通过IATF16949认证，具备进入主机厂一级供应商体系的资格。第二大股东北汽华达为产业资本，其入股为公司进入北汽系配套体系提供了直接通道，是公司客户结构中的重要支点。</w:t>
      </w:r>
    </w:p>
    <w:p>
      <w:pPr>
        <w:spacing w:lineRule="exact" w:line="600" w:before="0" w:after="0"/>
        <w:ind w:firstLine="420"/>
        <w:jc w:val="both"/>
      </w:pPr>
      <w:r>
        <w:rPr>
          <w:rFonts w:ascii="仿宋_GB2312" w:hAnsi="仿宋_GB2312" w:eastAsia="仿宋_GB2312"/>
          <w:b w:val="0"/>
          <w:color w:val="000000"/>
          <w:sz w:val="32"/>
        </w:rPr>
        <w:t>从产品属性判断，公司客户主要包括：整车制造企业（乘用车与商用车厂）、发动机厂、底盘系统集成商（空气悬架总成企业）以及工业自动化设备制造商。碳罐、EGR阀属于发动机与燃油系统配套件，客户多为主机厂或一级总成厂；空气泵则配套空气悬架总成企业或整车厂。</w:t>
      </w:r>
    </w:p>
    <w:p>
      <w:pPr>
        <w:spacing w:lineRule="exact" w:line="600" w:before="0" w:after="0"/>
        <w:ind w:firstLine="420"/>
        <w:jc w:val="both"/>
      </w:pPr>
      <w:r>
        <w:rPr>
          <w:rFonts w:ascii="仿宋_GB2312" w:hAnsi="仿宋_GB2312" w:eastAsia="仿宋_GB2312"/>
          <w:b w:val="0"/>
          <w:color w:val="000000"/>
          <w:sz w:val="32"/>
        </w:rPr>
        <w:t>出口方面，据公开资料公司产品出口多个国家和地区，并已完成境外投资项目备案，显示其国际化战略正在推进。具体客户名单、前五大客户集中度、单一客户占比等信息未公开披露。</w:t>
      </w:r>
    </w:p>
    <w:p>
      <w:pPr>
        <w:spacing w:lineRule="exact" w:line="600" w:before="0" w:after="0"/>
        <w:ind w:firstLine="420"/>
        <w:jc w:val="both"/>
      </w:pPr>
      <w:r>
        <w:rPr>
          <w:rFonts w:ascii="仿宋_GB2312" w:hAnsi="仿宋_GB2312" w:eastAsia="仿宋_GB2312"/>
          <w:b w:val="0"/>
          <w:color w:val="000000"/>
          <w:sz w:val="32"/>
        </w:rPr>
        <w:t>客户结构风险提示：汽车零部件行业普遍存在对少数主机厂的高度依赖，若北汽等主要客户产销波动或降本压力传导，将直接影响公司收入与毛利。建议在实际业务中核查客户集中度与在手订单结构。</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主要采购项目包括：铝合金压铸件与机加工件、活性炭（碳罐核心材料）、橡胶密封件、电磁线圈与漆包线、永磁材料、轴承、电子元器件与PCB、以及外协表面处理与热处理。其中永磁材料（钕铁硼）与电子元器件价格波动较大，活性炭与橡胶件则对质量一致性要求高。</w:t>
      </w:r>
    </w:p>
    <w:p>
      <w:pPr>
        <w:spacing w:lineRule="exact" w:line="600" w:before="0" w:after="0"/>
        <w:ind w:firstLine="420"/>
        <w:jc w:val="both"/>
      </w:pPr>
      <w:r>
        <w:rPr>
          <w:rFonts w:ascii="仿宋_GB2312" w:hAnsi="仿宋_GB2312" w:eastAsia="仿宋_GB2312"/>
          <w:b w:val="0"/>
          <w:color w:val="000000"/>
          <w:sz w:val="32"/>
        </w:rPr>
        <w:t>公司通过ISO14001与IATF16949体系管理供应商，具备较规范的供应商准入、审核与绩效评价机制。淄博及山东半岛地区机械加工、橡塑配套体系完备，同时紧邻青岛、烟台汽车产业带，具备较好的区域供应链基础。具体供应商名单与采购集中度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拥有检测和生产设备300余台（套）、生产线6条，公开资料显示目前年可生产各类机电产品500万套，具备较大的批量交付能力。公司强调"可在技术攻克后迅速实现产业化"，反映其研发到量产的转化链条较为顺畅。</w:t>
      </w:r>
    </w:p>
    <w:p>
      <w:pPr>
        <w:spacing w:lineRule="exact" w:line="600" w:before="0" w:after="0"/>
        <w:ind w:firstLine="420"/>
        <w:jc w:val="both"/>
      </w:pPr>
      <w:r>
        <w:rPr>
          <w:rFonts w:ascii="仿宋_GB2312" w:hAnsi="仿宋_GB2312" w:eastAsia="仿宋_GB2312"/>
          <w:b w:val="0"/>
          <w:color w:val="000000"/>
          <w:sz w:val="32"/>
        </w:rPr>
        <w:t>研发资源方面，公司每年研发资金投入占比超过7%（显著高于制造业平均水平及高新技术企业3%—5%的认定门槛），拥有50余人的专业研发团队，具备CAE计算机仿真分析能力与PDM产品数据管理系统，并与山东大学等高等院校深入开展产学研合作。知识产权方面，拥有发明专利2项、实用新型专利37项、软件著作权8项。2025年获批省级企业技术中心，研发平台层级提升。</w:t>
      </w:r>
    </w:p>
    <w:p>
      <w:pPr>
        <w:spacing w:lineRule="exact" w:line="600" w:before="0" w:after="0"/>
        <w:ind w:firstLine="420"/>
        <w:jc w:val="both"/>
      </w:pPr>
      <w:r>
        <w:rPr>
          <w:rFonts w:ascii="仿宋_GB2312" w:hAnsi="仿宋_GB2312" w:eastAsia="仿宋_GB2312"/>
          <w:b w:val="0"/>
          <w:color w:val="000000"/>
          <w:sz w:val="32"/>
        </w:rPr>
        <w:t>牌照与资质方面，公司持有高新技术企业证书、IATF16949/ISO14001/OHSAS18001三体系认证，具备汽车零部件、电机、电器、机电产品生产销售及货物与技术进出口资质，能够满足整车厂供应商准入的基本合规要求。</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汽车零部件行业通行的"主机厂直供＋一级总成配套＋售后市场"三线并行模式。前装市场需通过主机厂严格的供应商审核（含现场审核、PPAP样件认可、量产爬坡），认证周期通常18—36个月，一旦进入则合作稳定、切换成本高；售后市场则通过经销渠道与出口贸易实现，毛利相对更高但波动大。</w:t>
      </w:r>
    </w:p>
    <w:p>
      <w:pPr>
        <w:spacing w:lineRule="exact" w:line="600" w:before="0" w:after="0"/>
        <w:ind w:firstLine="420"/>
        <w:jc w:val="both"/>
      </w:pPr>
      <w:r>
        <w:rPr>
          <w:rFonts w:ascii="仿宋_GB2312" w:hAnsi="仿宋_GB2312" w:eastAsia="仿宋_GB2312"/>
          <w:b w:val="0"/>
          <w:color w:val="000000"/>
          <w:sz w:val="32"/>
        </w:rPr>
        <w:t>品牌方面，公司拥有"泰展TAINIC"品牌，在第三方品牌数据库中用户评分8.7分（323人评分），获成长品牌等标识，在细分领域具备一定的品牌认知度。</w:t>
      </w:r>
    </w:p>
    <w:p>
      <w:pPr>
        <w:spacing w:lineRule="exact" w:line="600" w:before="0" w:after="0"/>
        <w:ind w:firstLine="420"/>
        <w:jc w:val="both"/>
      </w:pPr>
      <w:r>
        <w:rPr>
          <w:rFonts w:ascii="仿宋_GB2312" w:hAnsi="仿宋_GB2312" w:eastAsia="仿宋_GB2312"/>
          <w:b w:val="0"/>
          <w:color w:val="000000"/>
          <w:sz w:val="32"/>
        </w:rPr>
        <w:t>国际化方面，公司已完成境外投资项目备案，预计将通过设立海外主体或产能就近配套国际客户，进一步打开海外市场空间。</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营业收入、净利润、订单规模等经营数据未公开披露。可获取的规模指标为：员工人数406人（2025年），参保人数406人（其中城镇职工基本养老保险、职工基本医疗保险、失业保险各379人，工伤保险406人），企业规模认定为中型企业。相较于集群内其他企业，泰展机电在人员规模与注册资本上均居前列，属集群骨干企业。</w:t>
      </w:r>
    </w:p>
    <w:p>
      <w:pPr>
        <w:spacing w:lineRule="exact" w:line="600" w:before="0" w:after="0"/>
        <w:ind w:firstLine="420"/>
        <w:jc w:val="both"/>
      </w:pPr>
      <w:r>
        <w:rPr>
          <w:rFonts w:ascii="仿宋_GB2312" w:hAnsi="仿宋_GB2312" w:eastAsia="仿宋_GB2312"/>
          <w:b w:val="0"/>
          <w:color w:val="000000"/>
          <w:sz w:val="32"/>
        </w:rPr>
        <w:t>市场地位方面，据集群调研信息，公司为全球第四家、国内首家掌握汽车空气泵核心技术的企业，在该细分领域具备稀缺性；同时被列为淄川区汽车部件高成长型骨干企业、淄博市创新型高成长企业50强。受制于公开数据缺失，具体市场占有率无法量化。</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泰展机电科技股份有限公司为非上市股份有限公司，未在证券交易所上市，亦未检索到其在全国中小企业股份转让系统挂牌的公开信息，因此无强制财务信息披露义务。经检索国家企业信用信息公示系统企业年报、天眼查、企查查、东方财富、同花顺等渠道，公司近三年营业收入、净利润、毛利率、资产总额、负债总额、资产负债率、经营活动现金流量净额等财务数据均未公开披露。本报告不作任何具体数字推定，建议实际业务合作前通过企业审计报告、征信报告与银行流水核实。</w:t>
      </w:r>
    </w:p>
    <w:p>
      <w:pPr>
        <w:spacing w:lineRule="exact" w:line="600" w:before="0" w:after="0"/>
        <w:ind w:firstLine="420"/>
        <w:jc w:val="both"/>
      </w:pPr>
      <w:r>
        <w:rPr>
          <w:rFonts w:ascii="仿宋_GB2312" w:hAnsi="仿宋_GB2312" w:eastAsia="仿宋_GB2312"/>
          <w:b w:val="0"/>
          <w:color w:val="000000"/>
          <w:sz w:val="32"/>
        </w:rPr>
        <w:t>可公开获取的资本与规模类信息如下：</w:t>
      </w:r>
    </w:p>
    <w:tbl>
      <w:tblPr>
        <w:tblStyle w:val="TableGrid"/>
        <w:tblW w:type="auto" w:w="0"/>
        <w:jc w:val="center"/>
        <w:tblLook w:firstColumn="1" w:firstRow="1" w:lastColumn="0" w:lastRow="0" w:noHBand="0" w:noVBand="1" w:val="04A0"/>
      </w:tblPr>
      <w:tblGrid>
        <w:gridCol w:w="2948"/>
        <w:gridCol w:w="2948"/>
        <w:gridCol w:w="2948"/>
      </w:tblGrid>
      <w:tr>
        <w:tc>
          <w:tcPr>
            <w:tcW w:type="dxa" w:w="2381"/>
          </w:tcPr>
          <w:p>
            <w:pPr>
              <w:spacing w:lineRule="exact" w:line="600"/>
              <w:jc w:val="center"/>
            </w:pPr>
            <w:r/>
            <w:r>
              <w:rPr>
                <w:rFonts w:ascii="黑体" w:hAnsi="黑体" w:eastAsia="黑体"/>
                <w:b/>
                <w:color w:val="000000"/>
                <w:sz w:val="32"/>
              </w:rPr>
              <w:t>项目</w:t>
            </w:r>
          </w:p>
        </w:tc>
        <w:tc>
          <w:tcPr>
            <w:tcW w:type="dxa" w:w="3402"/>
          </w:tcPr>
          <w:p>
            <w:pPr>
              <w:spacing w:lineRule="exact" w:line="600"/>
              <w:jc w:val="center"/>
            </w:pPr>
            <w:r/>
            <w:r>
              <w:rPr>
                <w:rFonts w:ascii="黑体" w:hAnsi="黑体" w:eastAsia="黑体"/>
                <w:b/>
                <w:color w:val="000000"/>
                <w:sz w:val="32"/>
              </w:rPr>
              <w:t>数据</w:t>
            </w:r>
          </w:p>
        </w:tc>
        <w:tc>
          <w:tcPr>
            <w:tcW w:type="dxa" w:w="2835"/>
          </w:tcPr>
          <w:p>
            <w:pPr>
              <w:spacing w:lineRule="exact" w:line="600"/>
              <w:jc w:val="center"/>
            </w:pPr>
            <w:r/>
            <w:r>
              <w:rPr>
                <w:rFonts w:ascii="黑体" w:hAnsi="黑体" w:eastAsia="黑体"/>
                <w:b/>
                <w:color w:val="000000"/>
                <w:sz w:val="32"/>
              </w:rPr>
              <w:t>口径/来源</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3402"/>
          </w:tcPr>
          <w:p>
            <w:pPr>
              <w:spacing w:lineRule="exact" w:line="600"/>
              <w:jc w:val="center"/>
            </w:pPr>
            <w:r/>
            <w:r>
              <w:rPr>
                <w:rFonts w:ascii="仿宋_GB2312" w:hAnsi="仿宋_GB2312" w:eastAsia="仿宋_GB2312"/>
                <w:b w:val="0"/>
                <w:color w:val="000000"/>
                <w:sz w:val="32"/>
              </w:rPr>
              <w:t>3263.9794万元</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381"/>
          </w:tcPr>
          <w:p>
            <w:pPr>
              <w:spacing w:lineRule="exact" w:line="600"/>
              <w:jc w:val="center"/>
            </w:pPr>
            <w:r/>
            <w:r>
              <w:rPr>
                <w:rFonts w:ascii="仿宋_GB2312" w:hAnsi="仿宋_GB2312" w:eastAsia="仿宋_GB2312"/>
                <w:b w:val="0"/>
                <w:color w:val="000000"/>
                <w:sz w:val="32"/>
              </w:rPr>
              <w:t>实缴资本</w:t>
            </w:r>
          </w:p>
        </w:tc>
        <w:tc>
          <w:tcPr>
            <w:tcW w:type="dxa" w:w="3402"/>
          </w:tcPr>
          <w:p>
            <w:pPr>
              <w:spacing w:lineRule="exact" w:line="600"/>
              <w:jc w:val="center"/>
            </w:pPr>
            <w:r/>
            <w:r>
              <w:rPr>
                <w:rFonts w:ascii="仿宋_GB2312" w:hAnsi="仿宋_GB2312" w:eastAsia="仿宋_GB2312"/>
                <w:b w:val="0"/>
                <w:color w:val="000000"/>
                <w:sz w:val="32"/>
              </w:rPr>
              <w:t>3263.9794万元（100%实缴）</w:t>
            </w:r>
          </w:p>
        </w:tc>
        <w:tc>
          <w:tcPr>
            <w:tcW w:type="dxa" w:w="2835"/>
          </w:tcPr>
          <w:p>
            <w:pPr>
              <w:spacing w:lineRule="exact" w:line="600"/>
              <w:jc w:val="center"/>
            </w:pPr>
            <w:r/>
            <w:r>
              <w:rPr>
                <w:rFonts w:ascii="仿宋_GB2312" w:hAnsi="仿宋_GB2312" w:eastAsia="仿宋_GB2312"/>
                <w:b w:val="0"/>
                <w:color w:val="000000"/>
                <w:sz w:val="32"/>
              </w:rPr>
              <w:t>企业年报</w:t>
            </w:r>
          </w:p>
        </w:tc>
      </w:tr>
      <w:tr>
        <w:tc>
          <w:tcPr>
            <w:tcW w:type="dxa" w:w="2381"/>
          </w:tcPr>
          <w:p>
            <w:pPr>
              <w:spacing w:lineRule="exact" w:line="600"/>
              <w:jc w:val="center"/>
            </w:pPr>
            <w:r/>
            <w:r>
              <w:rPr>
                <w:rFonts w:ascii="仿宋_GB2312" w:hAnsi="仿宋_GB2312" w:eastAsia="仿宋_GB2312"/>
                <w:b w:val="0"/>
                <w:color w:val="000000"/>
                <w:sz w:val="32"/>
              </w:rPr>
              <w:t>员工人数</w:t>
            </w:r>
          </w:p>
        </w:tc>
        <w:tc>
          <w:tcPr>
            <w:tcW w:type="dxa" w:w="3402"/>
          </w:tcPr>
          <w:p>
            <w:pPr>
              <w:spacing w:lineRule="exact" w:line="600"/>
              <w:jc w:val="center"/>
            </w:pPr>
            <w:r/>
            <w:r>
              <w:rPr>
                <w:rFonts w:ascii="仿宋_GB2312" w:hAnsi="仿宋_GB2312" w:eastAsia="仿宋_GB2312"/>
                <w:b w:val="0"/>
                <w:color w:val="000000"/>
                <w:sz w:val="32"/>
              </w:rPr>
              <w:t>406人（2025年）</w:t>
            </w:r>
          </w:p>
        </w:tc>
        <w:tc>
          <w:tcPr>
            <w:tcW w:type="dxa" w:w="2835"/>
          </w:tcPr>
          <w:p>
            <w:pPr>
              <w:spacing w:lineRule="exact" w:line="600"/>
              <w:jc w:val="center"/>
            </w:pPr>
            <w:r/>
            <w:r>
              <w:rPr>
                <w:rFonts w:ascii="仿宋_GB2312" w:hAnsi="仿宋_GB2312" w:eastAsia="仿宋_GB2312"/>
                <w:b w:val="0"/>
                <w:color w:val="000000"/>
                <w:sz w:val="32"/>
              </w:rPr>
              <w:t>企业年报社保信息</w:t>
            </w:r>
          </w:p>
        </w:tc>
      </w:tr>
      <w:tr>
        <w:tc>
          <w:tcPr>
            <w:tcW w:type="dxa" w:w="2381"/>
          </w:tcPr>
          <w:p>
            <w:pPr>
              <w:spacing w:lineRule="exact" w:line="600"/>
              <w:jc w:val="center"/>
            </w:pPr>
            <w:r/>
            <w:r>
              <w:rPr>
                <w:rFonts w:ascii="仿宋_GB2312" w:hAnsi="仿宋_GB2312" w:eastAsia="仿宋_GB2312"/>
                <w:b w:val="0"/>
                <w:color w:val="000000"/>
                <w:sz w:val="32"/>
              </w:rPr>
              <w:t>养老/医疗/失业参保</w:t>
            </w:r>
          </w:p>
        </w:tc>
        <w:tc>
          <w:tcPr>
            <w:tcW w:type="dxa" w:w="3402"/>
          </w:tcPr>
          <w:p>
            <w:pPr>
              <w:spacing w:lineRule="exact" w:line="600"/>
              <w:jc w:val="center"/>
            </w:pPr>
            <w:r/>
            <w:r>
              <w:rPr>
                <w:rFonts w:ascii="仿宋_GB2312" w:hAnsi="仿宋_GB2312" w:eastAsia="仿宋_GB2312"/>
                <w:b w:val="0"/>
                <w:color w:val="000000"/>
                <w:sz w:val="32"/>
              </w:rPr>
              <w:t>各379人</w:t>
            </w:r>
          </w:p>
        </w:tc>
        <w:tc>
          <w:tcPr>
            <w:tcW w:type="dxa" w:w="2835"/>
          </w:tcPr>
          <w:p>
            <w:pPr>
              <w:spacing w:lineRule="exact" w:line="600"/>
              <w:jc w:val="center"/>
            </w:pPr>
            <w:r/>
            <w:r>
              <w:rPr>
                <w:rFonts w:ascii="仿宋_GB2312" w:hAnsi="仿宋_GB2312" w:eastAsia="仿宋_GB2312"/>
                <w:b w:val="0"/>
                <w:color w:val="000000"/>
                <w:sz w:val="32"/>
              </w:rPr>
              <w:t>2025年度年报</w:t>
            </w:r>
          </w:p>
        </w:tc>
      </w:tr>
      <w:tr>
        <w:tc>
          <w:tcPr>
            <w:tcW w:type="dxa" w:w="2381"/>
          </w:tcPr>
          <w:p>
            <w:pPr>
              <w:spacing w:lineRule="exact" w:line="600"/>
              <w:jc w:val="center"/>
            </w:pPr>
            <w:r/>
            <w:r>
              <w:rPr>
                <w:rFonts w:ascii="仿宋_GB2312" w:hAnsi="仿宋_GB2312" w:eastAsia="仿宋_GB2312"/>
                <w:b w:val="0"/>
                <w:color w:val="000000"/>
                <w:sz w:val="32"/>
              </w:rPr>
              <w:t>工伤保险参保</w:t>
            </w:r>
          </w:p>
        </w:tc>
        <w:tc>
          <w:tcPr>
            <w:tcW w:type="dxa" w:w="3402"/>
          </w:tcPr>
          <w:p>
            <w:pPr>
              <w:spacing w:lineRule="exact" w:line="600"/>
              <w:jc w:val="center"/>
            </w:pPr>
            <w:r/>
            <w:r>
              <w:rPr>
                <w:rFonts w:ascii="仿宋_GB2312" w:hAnsi="仿宋_GB2312" w:eastAsia="仿宋_GB2312"/>
                <w:b w:val="0"/>
                <w:color w:val="000000"/>
                <w:sz w:val="32"/>
              </w:rPr>
              <w:t>406人</w:t>
            </w:r>
          </w:p>
        </w:tc>
        <w:tc>
          <w:tcPr>
            <w:tcW w:type="dxa" w:w="2835"/>
          </w:tcPr>
          <w:p>
            <w:pPr>
              <w:spacing w:lineRule="exact" w:line="600"/>
              <w:jc w:val="center"/>
            </w:pPr>
            <w:r/>
            <w:r>
              <w:rPr>
                <w:rFonts w:ascii="仿宋_GB2312" w:hAnsi="仿宋_GB2312" w:eastAsia="仿宋_GB2312"/>
                <w:b w:val="0"/>
                <w:color w:val="000000"/>
                <w:sz w:val="32"/>
              </w:rPr>
              <w:t>2025年度年报</w:t>
            </w:r>
          </w:p>
        </w:tc>
      </w:tr>
      <w:tr>
        <w:tc>
          <w:tcPr>
            <w:tcW w:type="dxa" w:w="2381"/>
          </w:tcPr>
          <w:p>
            <w:pPr>
              <w:spacing w:lineRule="exact" w:line="600"/>
              <w:jc w:val="center"/>
            </w:pPr>
            <w:r/>
            <w:r>
              <w:rPr>
                <w:rFonts w:ascii="仿宋_GB2312" w:hAnsi="仿宋_GB2312" w:eastAsia="仿宋_GB2312"/>
                <w:b w:val="0"/>
                <w:color w:val="000000"/>
                <w:sz w:val="32"/>
              </w:rPr>
              <w:t>企业规模</w:t>
            </w:r>
          </w:p>
        </w:tc>
        <w:tc>
          <w:tcPr>
            <w:tcW w:type="dxa" w:w="3402"/>
          </w:tcPr>
          <w:p>
            <w:pPr>
              <w:spacing w:lineRule="exact" w:line="600"/>
              <w:jc w:val="center"/>
            </w:pPr>
            <w:r/>
            <w:r>
              <w:rPr>
                <w:rFonts w:ascii="仿宋_GB2312" w:hAnsi="仿宋_GB2312" w:eastAsia="仿宋_GB2312"/>
                <w:b w:val="0"/>
                <w:color w:val="000000"/>
                <w:sz w:val="32"/>
              </w:rPr>
              <w:t>中型企业</w:t>
            </w:r>
          </w:p>
        </w:tc>
        <w:tc>
          <w:tcPr>
            <w:tcW w:type="dxa" w:w="2835"/>
          </w:tcPr>
          <w:p>
            <w:pPr>
              <w:spacing w:lineRule="exact" w:line="600"/>
              <w:jc w:val="center"/>
            </w:pPr>
            <w:r/>
            <w:r>
              <w:rPr>
                <w:rFonts w:ascii="仿宋_GB2312" w:hAnsi="仿宋_GB2312" w:eastAsia="仿宋_GB2312"/>
                <w:b w:val="0"/>
                <w:color w:val="000000"/>
                <w:sz w:val="32"/>
              </w:rPr>
              <w:t>第三方平台认定</w:t>
            </w:r>
          </w:p>
        </w:tc>
      </w:tr>
      <w:tr>
        <w:tc>
          <w:tcPr>
            <w:tcW w:type="dxa" w:w="2381"/>
          </w:tcPr>
          <w:p>
            <w:pPr>
              <w:spacing w:lineRule="exact" w:line="600"/>
              <w:jc w:val="center"/>
            </w:pPr>
            <w:r/>
            <w:r>
              <w:rPr>
                <w:rFonts w:ascii="仿宋_GB2312" w:hAnsi="仿宋_GB2312" w:eastAsia="仿宋_GB2312"/>
                <w:b w:val="0"/>
                <w:color w:val="000000"/>
                <w:sz w:val="32"/>
              </w:rPr>
              <w:t>研发投入强度</w:t>
            </w:r>
          </w:p>
        </w:tc>
        <w:tc>
          <w:tcPr>
            <w:tcW w:type="dxa" w:w="3402"/>
          </w:tcPr>
          <w:p>
            <w:pPr>
              <w:spacing w:lineRule="exact" w:line="600"/>
              <w:jc w:val="center"/>
            </w:pPr>
            <w:r/>
            <w:r>
              <w:rPr>
                <w:rFonts w:ascii="仿宋_GB2312" w:hAnsi="仿宋_GB2312" w:eastAsia="仿宋_GB2312"/>
                <w:b w:val="0"/>
                <w:color w:val="000000"/>
                <w:sz w:val="32"/>
              </w:rPr>
              <w:t>每年占比超过7%</w:t>
            </w:r>
          </w:p>
        </w:tc>
        <w:tc>
          <w:tcPr>
            <w:tcW w:type="dxa" w:w="2835"/>
          </w:tcPr>
          <w:p>
            <w:pPr>
              <w:spacing w:lineRule="exact" w:line="600"/>
              <w:jc w:val="center"/>
            </w:pPr>
            <w:r/>
            <w:r>
              <w:rPr>
                <w:rFonts w:ascii="仿宋_GB2312" w:hAnsi="仿宋_GB2312" w:eastAsia="仿宋_GB2312"/>
                <w:b w:val="0"/>
                <w:color w:val="000000"/>
                <w:sz w:val="32"/>
              </w:rPr>
              <w:t>公司公开资料</w:t>
            </w:r>
          </w:p>
        </w:tc>
      </w:tr>
      <w:tr>
        <w:tc>
          <w:tcPr>
            <w:tcW w:type="dxa" w:w="2381"/>
          </w:tcPr>
          <w:p>
            <w:pPr>
              <w:spacing w:lineRule="exact" w:line="600"/>
              <w:jc w:val="center"/>
            </w:pPr>
            <w:r/>
            <w:r>
              <w:rPr>
                <w:rFonts w:ascii="仿宋_GB2312" w:hAnsi="仿宋_GB2312" w:eastAsia="仿宋_GB2312"/>
                <w:b w:val="0"/>
                <w:color w:val="000000"/>
                <w:sz w:val="32"/>
              </w:rPr>
              <w:t>年产能</w:t>
            </w:r>
          </w:p>
        </w:tc>
        <w:tc>
          <w:tcPr>
            <w:tcW w:type="dxa" w:w="3402"/>
          </w:tcPr>
          <w:p>
            <w:pPr>
              <w:spacing w:lineRule="exact" w:line="600"/>
              <w:jc w:val="center"/>
            </w:pPr>
            <w:r/>
            <w:r>
              <w:rPr>
                <w:rFonts w:ascii="仿宋_GB2312" w:hAnsi="仿宋_GB2312" w:eastAsia="仿宋_GB2312"/>
                <w:b w:val="0"/>
                <w:color w:val="000000"/>
                <w:sz w:val="32"/>
              </w:rPr>
              <w:t>各类机电产品500万套</w:t>
            </w:r>
          </w:p>
        </w:tc>
        <w:tc>
          <w:tcPr>
            <w:tcW w:type="dxa" w:w="2835"/>
          </w:tcPr>
          <w:p>
            <w:pPr>
              <w:spacing w:lineRule="exact" w:line="600"/>
              <w:jc w:val="center"/>
            </w:pPr>
            <w:r/>
            <w:r>
              <w:rPr>
                <w:rFonts w:ascii="仿宋_GB2312" w:hAnsi="仿宋_GB2312" w:eastAsia="仿宋_GB2312"/>
                <w:b w:val="0"/>
                <w:color w:val="000000"/>
                <w:sz w:val="32"/>
              </w:rPr>
              <w:t>公司公开资料</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数据未公开，无法量化。定性判断：汽车零部件行业毛利率通常在20%—35%区间，其中技术壁垒高的空气泵类产品毛利率明显高于碳罐等成熟件。公司研发投入占比超过7%，处于行业较高水平，短期会摊薄利润，但长期有利于维持产品溢价。享受高新技术企业15%企业所得税优惠及研发费用加计扣除政策，对净利润形成正向贡献。</w:t>
      </w:r>
    </w:p>
    <w:p>
      <w:pPr>
        <w:spacing w:lineRule="exact" w:line="600" w:before="0" w:after="0"/>
        <w:ind w:firstLine="420"/>
        <w:jc w:val="both"/>
      </w:pPr>
      <w:r>
        <w:rPr>
          <w:rFonts w:ascii="仿宋_GB2312" w:hAnsi="仿宋_GB2312" w:eastAsia="仿宋_GB2312"/>
          <w:b w:val="0"/>
          <w:color w:val="000000"/>
          <w:sz w:val="32"/>
        </w:rPr>
        <w:t>风险因素在于：主机厂年降（年度降价）机制普遍，通常要求供应商每年降价3%—5%，若成本下降速度慢于降价速度，毛利率将持续承压；原材料中永磁材料、电子元器件价格波动亦影响成本端。</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公司拥有6条生产线、300余台（套）生产与检测设备，固定资产规模较大，属中等偏重资产模式。存货方面，700余种产品规格意味着较大的SKU数量与安全库存压力，需关注呆滞料与存货周转效率。</w:t>
      </w:r>
    </w:p>
    <w:p>
      <w:pPr>
        <w:spacing w:lineRule="exact" w:line="600" w:before="0" w:after="0"/>
        <w:ind w:firstLine="420"/>
        <w:jc w:val="both"/>
      </w:pPr>
      <w:r>
        <w:rPr>
          <w:rFonts w:ascii="仿宋_GB2312" w:hAnsi="仿宋_GB2312" w:eastAsia="仿宋_GB2312"/>
          <w:b w:val="0"/>
          <w:color w:val="000000"/>
          <w:sz w:val="32"/>
        </w:rPr>
        <w:t>应收账款方面，汽车零部件行业主机厂账期普遍为3—6个月，且多采用商业承兑汇票结算，应收类资产占比通常较高、周转偏慢，是该行业的共性特征。无形资产以专利与软件著作权为主，规模有限。具体资产结构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数据未公开披露。有利因素包括：注册资本3263.98万元全部实缴，权益基础扎实；股东分散且包含产业资本与员工持股平台，具备后续增资潜力。潜在压力包括：产能扩张与研发投入需要持续资本开支；主机厂账期长导致营运资金占用大，通常需要较高的短期借款或票据融资规模支撑。建议以最新审计报告核实资产负债率与流动比率。</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经营性现金流的主要制约来自汽车行业"长账期＋票据结算"的结算特征：收入确认与现金回笼之间存在明显时滞，若主机厂大量使用商业承兑汇票，还将进一步延长实际回款周期并带来贴现成本。投资性现金流受产线扩充与境外投资项目影响，预计为净流出。筹资性现金流方面，2024—2025年股东出资到位形成正向流入。</w:t>
      </w:r>
    </w:p>
    <w:p>
      <w:pPr>
        <w:spacing w:lineRule="exact" w:line="600" w:before="0" w:after="0"/>
        <w:ind w:firstLine="420"/>
        <w:jc w:val="both"/>
      </w:pPr>
      <w:r>
        <w:rPr>
          <w:rFonts w:ascii="仿宋_GB2312" w:hAnsi="仿宋_GB2312" w:eastAsia="仿宋_GB2312"/>
          <w:b w:val="0"/>
          <w:color w:val="000000"/>
          <w:sz w:val="32"/>
        </w:rPr>
        <w:t>重点关注：应收票据规模与贴现情况、境外投资项目的资金安排与外汇敞口。</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企业相比：泰展机电员工406人、注册资本3263.98万元且100%实缴，规模居集群前列；山东国岳金刚石参保238人、2025年产值突破2亿元，规模次之；山东圣德智能装备员工约70—100人、注册资本2000万元，规模最小。三者中，泰展机电的股权结构最为多元、治理架构最为规范（已设董事会秘书），资本市场化程度最高。</w:t>
      </w:r>
    </w:p>
    <w:p>
      <w:pPr>
        <w:spacing w:lineRule="exact" w:line="600" w:before="0" w:after="0"/>
        <w:ind w:firstLine="420"/>
        <w:jc w:val="both"/>
      </w:pPr>
      <w:r>
        <w:rPr>
          <w:rFonts w:ascii="仿宋_GB2312" w:hAnsi="仿宋_GB2312" w:eastAsia="仿宋_GB2312"/>
          <w:b w:val="0"/>
          <w:color w:val="000000"/>
          <w:sz w:val="32"/>
        </w:rPr>
        <w:t>与国内汽车零部件同行相比，公司属于中型专业零部件企业，收入体量预计远小于A股上市的汽车零部件公司，但在空气泵这一细分技术上具备稀缺性，具备"小巨人"型企业的估值逻辑。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股份有限公司，已建立"股东大会—董事会—监事会—经理层"的完整治理架构，并设置董事会秘书岗位，治理规范化程度在集群内处于领先水平。股东大会为最高权力机构，董事会负责重大经营决策，监事会行使监督职能，总经理负责日常经营。</w:t>
      </w:r>
    </w:p>
    <w:p>
      <w:pPr>
        <w:spacing w:lineRule="exact" w:line="600" w:before="0" w:after="0"/>
        <w:ind w:firstLine="420"/>
        <w:jc w:val="both"/>
      </w:pPr>
      <w:r>
        <w:rPr>
          <w:rFonts w:ascii="仿宋_GB2312" w:hAnsi="仿宋_GB2312" w:eastAsia="仿宋_GB2312"/>
          <w:b w:val="0"/>
          <w:color w:val="000000"/>
          <w:sz w:val="32"/>
        </w:rPr>
        <w:t>控制权方面，董事长刘之明直接持股约47.84%，叠加其对员工持股平台的可能影响，实际控制地位稳固，同时未形成绝对控股，产业股东北汽华达（10.53%）与员工持股平台（合计8.89%）构成一定制衡，治理结构相对均衡健康。</w:t>
      </w:r>
    </w:p>
    <w:p>
      <w:pPr>
        <w:spacing w:lineRule="exact" w:line="600" w:before="0" w:after="0"/>
        <w:ind w:firstLine="420"/>
        <w:jc w:val="both"/>
      </w:pPr>
      <w:r>
        <w:rPr>
          <w:rFonts w:ascii="仿宋_GB2312" w:hAnsi="仿宋_GB2312" w:eastAsia="仿宋_GB2312"/>
          <w:b w:val="0"/>
          <w:color w:val="000000"/>
          <w:sz w:val="32"/>
        </w:rPr>
        <w:t>需要关注的是，公司股东人数超过25名，虽已具备股份公司形式，但若拟申请上市，需注意股东人数不超过200人的合规要求，以及员工持股平台的穿透核查问题。2025年对持股平台的重组可能正是出于此类规范考虑。</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刘之明为公司创始人、董事长、法定代表人及第一大股东，主导公司战略方向与重大决策，关联企业9家。核心管理团队中，李、胡、吴、万、赵、翟等自然人股东出资额较大且持股时间较长，预计为公司董事、监事或高级管理人员，构成稳定的核心团队。</w:t>
      </w:r>
    </w:p>
    <w:p>
      <w:pPr>
        <w:spacing w:lineRule="exact" w:line="600" w:before="0" w:after="0"/>
        <w:ind w:firstLine="420"/>
        <w:jc w:val="both"/>
      </w:pPr>
      <w:r>
        <w:rPr>
          <w:rFonts w:ascii="仿宋_GB2312" w:hAnsi="仿宋_GB2312" w:eastAsia="仿宋_GB2312"/>
          <w:b w:val="0"/>
          <w:color w:val="000000"/>
          <w:sz w:val="32"/>
        </w:rPr>
        <w:t>管理团队特征：一是长期稳定，多数核心股东自2016—2018年入股至今未退出；二是利益绑定充分，通过直接持股与持股平台双重机制实现；三是技术导向明显，公司研发投入占比超7%、拥有50余人研发团队，反映管理层对技术投入的重视。完整高管名单未公开披露。</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ATF16949汽车行业质量管理体系认证，该体系对过程控制、可追溯性、风险管理（FMEA）、供应商管理、纠正预防措施等有极为严格的要求，是汽车零部件企业内控水平的重要标志。同时通过ISO14001环境管理体系与OHSAS18001职业健康安全管理体系认证，环保与安全管理体系健全。</w:t>
      </w:r>
    </w:p>
    <w:p>
      <w:pPr>
        <w:spacing w:lineRule="exact" w:line="600" w:before="0" w:after="0"/>
        <w:ind w:firstLine="420"/>
        <w:jc w:val="both"/>
      </w:pPr>
      <w:r>
        <w:rPr>
          <w:rFonts w:ascii="仿宋_GB2312" w:hAnsi="仿宋_GB2312" w:eastAsia="仿宋_GB2312"/>
          <w:b w:val="0"/>
          <w:color w:val="000000"/>
          <w:sz w:val="32"/>
        </w:rPr>
        <w:t>信息化方面，公司建有PDM产品数据管理系统，具备CAE计算机仿真分析能力，研发流程数字化程度较高。2025年获批省级企业技术中心，研发组织建设进一步制度化。</w:t>
      </w:r>
    </w:p>
    <w:p>
      <w:pPr>
        <w:spacing w:lineRule="exact" w:line="600" w:before="0" w:after="0"/>
        <w:ind w:firstLine="420"/>
        <w:jc w:val="both"/>
      </w:pPr>
      <w:r>
        <w:rPr>
          <w:rFonts w:ascii="仿宋_GB2312" w:hAnsi="仿宋_GB2312" w:eastAsia="仿宋_GB2312"/>
          <w:b w:val="0"/>
          <w:color w:val="000000"/>
          <w:sz w:val="32"/>
        </w:rPr>
        <w:t>内控改进空间：作为拟资本化企业，需进一步完善关联交易管理、资金管理、内部审计等制度，特别是9家关联企业之间的业务与资金往来需保持独立、公允。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公司员工总数406人（2025年），其中参加城镇职工基本养老保险、职工基本医疗保险、失业保险各379人，工伤保险406人，社保覆盖率高，用工规范。人员规模区间为100—499人，属中型制造企业。</w:t>
      </w:r>
    </w:p>
    <w:p>
      <w:pPr>
        <w:spacing w:lineRule="exact" w:line="600" w:before="0" w:after="0"/>
        <w:ind w:firstLine="420"/>
        <w:jc w:val="both"/>
      </w:pPr>
      <w:r>
        <w:rPr>
          <w:rFonts w:ascii="仿宋_GB2312" w:hAnsi="仿宋_GB2312" w:eastAsia="仿宋_GB2312"/>
          <w:b w:val="0"/>
          <w:color w:val="000000"/>
          <w:sz w:val="32"/>
        </w:rPr>
        <w:t>人才结构方面，拥有50余人的专业研发团队，占员工总数约12%，研发人员占比在传统零部件企业中属较高水平。公司与山东大学等高校深入开展产学研合作，构建了产学研用相结合的人才培养与技术引进通道。</w:t>
      </w:r>
    </w:p>
    <w:p>
      <w:pPr>
        <w:spacing w:lineRule="exact" w:line="600" w:before="0" w:after="0"/>
        <w:ind w:firstLine="420"/>
        <w:jc w:val="both"/>
      </w:pPr>
      <w:r>
        <w:rPr>
          <w:rFonts w:ascii="仿宋_GB2312" w:hAnsi="仿宋_GB2312" w:eastAsia="仿宋_GB2312"/>
          <w:b w:val="0"/>
          <w:color w:val="000000"/>
          <w:sz w:val="32"/>
        </w:rPr>
        <w:t>激励机制方面，公司通过泰展汇智、泰河管理两个员工持股平台以及20余名自然人直接持股，实现了核心团队与骨干员工的深度利益绑定，这在县域制造企业中较为少见，是公司团队稳定性的重要保障。</w:t>
      </w:r>
    </w:p>
    <w:p>
      <w:pPr>
        <w:spacing w:lineRule="exact" w:line="600" w:before="0" w:after="0"/>
        <w:ind w:firstLine="420"/>
        <w:jc w:val="both"/>
      </w:pPr>
      <w:r>
        <w:rPr>
          <w:rFonts w:ascii="仿宋_GB2312" w:hAnsi="仿宋_GB2312" w:eastAsia="仿宋_GB2312"/>
          <w:b w:val="0"/>
          <w:color w:val="000000"/>
          <w:sz w:val="32"/>
        </w:rPr>
        <w:t>挑战在于：淄川区对高端研发人才（尤其是汽车电子、控制算法方向）的吸引力有限，公司在电控软件、算法等前沿方向的人才储备可能面临瓶颈。</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核心技术壁垒。公司为全球第四家、国内首家掌握汽车空气泵核心技术的企业。空气悬架用空气泵涉及高压小型化压缩机设计、密封与耐久性、电机与控制算法匹配、NVH抑制等多学科难点，长期由国际巨头垄断，技术突破难度大、验证周期长，构成极强的进入壁垒。随着空气悬架在国产车型上的加速渗透，该技术的稀缺价值将持续放大。</w:t>
      </w:r>
    </w:p>
    <w:p>
      <w:pPr>
        <w:spacing w:lineRule="exact" w:line="600" w:before="0" w:after="0"/>
        <w:ind w:firstLine="420"/>
        <w:jc w:val="both"/>
      </w:pPr>
      <w:r>
        <w:rPr>
          <w:rFonts w:ascii="仿宋_GB2312" w:hAnsi="仿宋_GB2312" w:eastAsia="仿宋_GB2312"/>
          <w:b w:val="0"/>
          <w:color w:val="000000"/>
          <w:sz w:val="32"/>
        </w:rPr>
        <w:t>二是客户认证壁垒。公司通过IATF16949认证并进入主机厂配套体系。汽车零部件前装配套的认证周期长达18—36个月，涉及现场审核、样件认可、小批量验证、量产爬坡等多个环节，客户一旦定点则更换成本极高，形成天然的客户粘性与订单可持续性。</w:t>
      </w:r>
    </w:p>
    <w:p>
      <w:pPr>
        <w:spacing w:lineRule="exact" w:line="600" w:before="0" w:after="0"/>
        <w:ind w:firstLine="420"/>
        <w:jc w:val="both"/>
      </w:pPr>
      <w:r>
        <w:rPr>
          <w:rFonts w:ascii="仿宋_GB2312" w:hAnsi="仿宋_GB2312" w:eastAsia="仿宋_GB2312"/>
          <w:b w:val="0"/>
          <w:color w:val="000000"/>
          <w:sz w:val="32"/>
        </w:rPr>
        <w:t>三是产业股东资源壁垒。北汽华达作为产业资本持股约10.53%，为公司打通了整车集团的配套通道，这是纯财务投资无法提供的战略资源，也是同类民营零部件企业难以复制的优势。</w:t>
      </w:r>
    </w:p>
    <w:p>
      <w:pPr>
        <w:spacing w:lineRule="exact" w:line="600" w:before="0" w:after="0"/>
        <w:ind w:firstLine="420"/>
        <w:jc w:val="both"/>
      </w:pPr>
      <w:r>
        <w:rPr>
          <w:rFonts w:ascii="仿宋_GB2312" w:hAnsi="仿宋_GB2312" w:eastAsia="仿宋_GB2312"/>
          <w:b w:val="0"/>
          <w:color w:val="000000"/>
          <w:sz w:val="32"/>
        </w:rPr>
        <w:t>四是研发投入与平台壁垒。每年研发投入占比超过7%，远高于行业平均；拥有50余人研发团队、CAE仿真能力、PDM系统、省级企业技术中心、与山东大学的产学研合作，形成了持续的技术产出能力。发明专利2项、实用新型37项、软著8项构成知识产权护城河。</w:t>
      </w:r>
    </w:p>
    <w:p>
      <w:pPr>
        <w:spacing w:lineRule="exact" w:line="600" w:before="0" w:after="0"/>
        <w:ind w:firstLine="420"/>
        <w:jc w:val="both"/>
      </w:pPr>
      <w:r>
        <w:rPr>
          <w:rFonts w:ascii="仿宋_GB2312" w:hAnsi="仿宋_GB2312" w:eastAsia="仿宋_GB2312"/>
          <w:b w:val="0"/>
          <w:color w:val="000000"/>
          <w:sz w:val="32"/>
        </w:rPr>
        <w:t>五是规模化制造壁垒。6条生产线、300余台（套）设备、年产500万套的产能规模，以及700余种产品规格的柔性制造能力，使公司能够同时满足多客户、多车型的差异化配套需求，规模效应与柔性能力兼备。</w:t>
      </w:r>
    </w:p>
    <w:p>
      <w:pPr>
        <w:spacing w:lineRule="exact" w:line="600" w:before="0" w:after="0"/>
        <w:ind w:firstLine="420"/>
        <w:jc w:val="both"/>
      </w:pPr>
      <w:r>
        <w:rPr>
          <w:rFonts w:ascii="仿宋_GB2312" w:hAnsi="仿宋_GB2312" w:eastAsia="仿宋_GB2312"/>
          <w:b w:val="0"/>
          <w:color w:val="000000"/>
          <w:sz w:val="32"/>
        </w:rPr>
        <w:t>六是治理与激励壁垒。已完成股份制改造、设立董事会秘书、建立员工持股平台，治理规范、团队稳定，具备承接资本市场融资与快速扩张的组织能力，这在县域民营制造企业中属显著优势。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第一，汽车行业周期波动风险。公司收入高度依赖整车产销，若宏观经济下行或汽车消费刺激政策退坡，主机厂减产将直接传导至零部件企业。</w:t>
      </w:r>
    </w:p>
    <w:p>
      <w:pPr>
        <w:spacing w:lineRule="exact" w:line="600" w:before="0" w:after="0"/>
        <w:ind w:firstLine="420"/>
        <w:jc w:val="both"/>
      </w:pPr>
      <w:r>
        <w:rPr>
          <w:rFonts w:ascii="仿宋_GB2312" w:hAnsi="仿宋_GB2312" w:eastAsia="仿宋_GB2312"/>
          <w:b w:val="0"/>
          <w:color w:val="000000"/>
          <w:sz w:val="32"/>
        </w:rPr>
        <w:t>第二，技术路线替代风险。这是公司面临的最核心的中长期风险。汽车碳罐与EGR阀均为内燃机专属零部件，随着新能源汽车渗透率持续攀升，纯电动车型完全不需要碳罐与EGR阀，该部分业务面临结构性萎缩。虽然混合动力车型仍保留燃油系统，可延缓下滑速度，但长期趋势不可逆。公司必须依靠空气泵、伺服电机等电动化兼容产品实现业务重构。</w:t>
      </w:r>
    </w:p>
    <w:p>
      <w:pPr>
        <w:spacing w:lineRule="exact" w:line="600" w:before="0" w:after="0"/>
        <w:ind w:firstLine="420"/>
        <w:jc w:val="both"/>
      </w:pPr>
      <w:r>
        <w:rPr>
          <w:rFonts w:ascii="仿宋_GB2312" w:hAnsi="仿宋_GB2312" w:eastAsia="仿宋_GB2312"/>
          <w:b w:val="0"/>
          <w:color w:val="000000"/>
          <w:sz w:val="32"/>
        </w:rPr>
        <w:t>第三，价格竞争与年降压力。主机厂普遍推行年度降价机制，同时国内零部件企业竞争激烈，产品价格持续下行。</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第一，客户集中度风险。产业股东北汽华达的存在虽是优势，但也可能导致对北汽系客户的依赖，若该客户产销下滑或调整供应商策略，影响较大。</w:t>
      </w:r>
    </w:p>
    <w:p>
      <w:pPr>
        <w:spacing w:lineRule="exact" w:line="600" w:before="0" w:after="0"/>
        <w:ind w:firstLine="420"/>
        <w:jc w:val="both"/>
      </w:pPr>
      <w:r>
        <w:rPr>
          <w:rFonts w:ascii="仿宋_GB2312" w:hAnsi="仿宋_GB2312" w:eastAsia="仿宋_GB2312"/>
          <w:b w:val="0"/>
          <w:color w:val="000000"/>
          <w:sz w:val="32"/>
        </w:rPr>
        <w:t>第二，新产品放量不确定性。空气泵虽技术领先，但空气悬架的实际装配率取决于整车厂配置策略与成本控制，若下探节奏慢于预期，产能投入可能闲置。</w:t>
      </w:r>
    </w:p>
    <w:p>
      <w:pPr>
        <w:spacing w:lineRule="exact" w:line="600" w:before="0" w:after="0"/>
        <w:ind w:firstLine="420"/>
        <w:jc w:val="both"/>
      </w:pPr>
      <w:r>
        <w:rPr>
          <w:rFonts w:ascii="仿宋_GB2312" w:hAnsi="仿宋_GB2312" w:eastAsia="仿宋_GB2312"/>
          <w:b w:val="0"/>
          <w:color w:val="000000"/>
          <w:sz w:val="32"/>
        </w:rPr>
        <w:t>第三，境外投资风险。公司已完成境外投资项目备案，海外主体设立与运营涉及政治、法律、税务、汇率、文化等多重风险，对首次出海的中型企业挑战较大。</w:t>
      </w:r>
    </w:p>
    <w:p>
      <w:pPr>
        <w:spacing w:lineRule="exact" w:line="600" w:before="0" w:after="0"/>
        <w:ind w:firstLine="420"/>
        <w:jc w:val="both"/>
      </w:pPr>
      <w:r>
        <w:rPr>
          <w:rFonts w:ascii="仿宋_GB2312" w:hAnsi="仿宋_GB2312" w:eastAsia="仿宋_GB2312"/>
          <w:b w:val="0"/>
          <w:color w:val="000000"/>
          <w:sz w:val="32"/>
        </w:rPr>
        <w:t>第四，质量与召回风险。汽车零部件一旦出现批量质量问题，将面临主机厂索赔、召回费用分摊甚至取消供应商资格的严重后果。</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第一，应收账款与票据风险。汽车行业长账期与商票结算导致营运资金占用大，若主机厂信用状况恶化或商票违约，将直接冲击现金流。</w:t>
      </w:r>
    </w:p>
    <w:p>
      <w:pPr>
        <w:spacing w:lineRule="exact" w:line="600" w:before="0" w:after="0"/>
        <w:ind w:firstLine="420"/>
        <w:jc w:val="both"/>
      </w:pPr>
      <w:r>
        <w:rPr>
          <w:rFonts w:ascii="仿宋_GB2312" w:hAnsi="仿宋_GB2312" w:eastAsia="仿宋_GB2312"/>
          <w:b w:val="0"/>
          <w:color w:val="000000"/>
          <w:sz w:val="32"/>
        </w:rPr>
        <w:t>第二，存货风险。700余种SKU带来较高的库存管理难度，车型换代可能导致专用件呆滞。</w:t>
      </w:r>
    </w:p>
    <w:p>
      <w:pPr>
        <w:spacing w:lineRule="exact" w:line="600" w:before="0" w:after="0"/>
        <w:ind w:firstLine="420"/>
        <w:jc w:val="both"/>
      </w:pPr>
      <w:r>
        <w:rPr>
          <w:rFonts w:ascii="仿宋_GB2312" w:hAnsi="仿宋_GB2312" w:eastAsia="仿宋_GB2312"/>
          <w:b w:val="0"/>
          <w:color w:val="000000"/>
          <w:sz w:val="32"/>
        </w:rPr>
        <w:t>第三，财务透明度不足。作为非上市企业，财务数据完全不公开，外部机构难以准确评估其偿债能力与盈利质量，构成授信障碍。</w:t>
      </w:r>
    </w:p>
    <w:p>
      <w:pPr>
        <w:spacing w:lineRule="exact" w:line="600" w:before="0" w:after="0"/>
        <w:ind w:firstLine="420"/>
        <w:jc w:val="both"/>
      </w:pPr>
      <w:r>
        <w:rPr>
          <w:rFonts w:ascii="仿宋_GB2312" w:hAnsi="仿宋_GB2312" w:eastAsia="仿宋_GB2312"/>
          <w:b w:val="0"/>
          <w:color w:val="000000"/>
          <w:sz w:val="32"/>
        </w:rPr>
        <w:t>第四，汇率风险。产品出口及境外投资将产生外汇敞口，人民币汇率波动影响出口毛利与海外资产价值。</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公司相关信息见于企查查涉诉信息页面，提示可能存在诉讼记录，但未见重大或高频风险披露，具体案由与金额需进一步核实。潜在合规风险包括：一是环保合规（电镀、涂装、废气废水处理）；二是安全生产（压铸、冲压、机加工高危工序）；三是知识产权风险，空气泵等技术领域国际巨头专利布局密集，出海时面临专利侵权诉讼风险；四是境外投资合规，需完成发改、商务、外汇三部门备案手续；五是股东人数与持股平台的资本市场合规问题。</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公司控制权集中于董事长刘之明，存在关键人依赖；关联企业9家，关联交易的公允性与独立性需持续关注；由中型企业向更大规模跨越过程中，管理半径扩大、跨境经营等对组织能力提出更高要求。</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已采取的应对措施包括：一是产品结构主动转型，重点发展与动力形式无关的底盘空气泵及工业自动化伺服电机、驱动器，对冲内燃机零部件萎缩风险；二是保持每年超过7%的高强度研发投入，并获批省级企业技术中心，维持技术领先；三是通过IATF16949等体系认证与PDM、CAE等数字化工具强化质量与研发管控，降低质量风险；四是引入产业资本北汽华达稳固客户渠道；五是建立员工持股平台绑定核心团队，降低人才流失风险；六是推进境外投资备案，主动开拓海外市场以分散单一市场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作为汽车零部件一级供应商，对主机厂的应收账款与应收票据规模大、账期长（通常3—6个月），且债务人多为整车集团等优质主体，是保理业务最典型、最优质的资产来源。建议开展以下产品：一是有追索权国内保理，以主机厂应收账款为标的，融资比例70%—85%，期限匹配账期；二是商业承兑汇票贴现或票据池融资，针对主机厂开具的商票提供流动性支持；三是若客户为北汽等大型国有整车集团，可争取叙做无追索权保理，帮助公司实现应收账款出表、优化资产负债表。该业务风险可控、场景清晰，建议作为首选切入产品。</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公司作为区域内汽车零部件骨干企业，上游聚集了压铸、机加工、橡塑、电子元器件等大量中小配套企业。建议以泰展机电为核心企业搭建反向保理平台，对其确认的应付账款提供融资，供应商可提前回款、降低融资成本，公司可争取更优的采购账期与价格，山东投资则获得基于核心企业信用的低风险资产。</w:t>
      </w:r>
    </w:p>
    <w:p>
      <w:pPr>
        <w:spacing w:lineRule="exact" w:line="600" w:before="0" w:after="0"/>
        <w:ind w:firstLine="420"/>
        <w:jc w:val="both"/>
      </w:pPr>
      <w:r>
        <w:rPr>
          <w:rFonts w:ascii="仿宋_GB2312" w:hAnsi="仿宋_GB2312" w:eastAsia="仿宋_GB2312"/>
          <w:b w:val="0"/>
          <w:color w:val="000000"/>
          <w:sz w:val="32"/>
        </w:rPr>
        <w:t>进一步地，可探索"N＋1＋N"模式：向上服务其供应商，向下为其经销商与售后渠道客户提供订单融资，形成完整的产业链金融闭环。考虑到公司自身规模与信用等级，建议在初期采用核心企业确权＋差额补足的风控结构。</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公司拥有6条生产线与300余台（套）生产检测设备，设备资产规模大、通用性与变现性较好，适合开展售后回租业务盘活存量资产，释放流动资金用于研发投入与市场开拓，租赁期建议3—5年。</w:t>
      </w:r>
    </w:p>
    <w:p>
      <w:pPr>
        <w:spacing w:lineRule="exact" w:line="600" w:before="0" w:after="0"/>
        <w:ind w:firstLine="420"/>
        <w:jc w:val="both"/>
      </w:pPr>
      <w:r>
        <w:rPr>
          <w:rFonts w:ascii="仿宋_GB2312" w:hAnsi="仿宋_GB2312" w:eastAsia="仿宋_GB2312"/>
          <w:b w:val="0"/>
          <w:color w:val="000000"/>
          <w:sz w:val="32"/>
        </w:rPr>
        <w:t>同时，公司面临空气泵产能扩充、境外产能布局等新增资本开支需求，可通过直接租赁方式解决新设备购置资金，避免一次性大额现金支出。对于境外项目，可探索跨境融资租赁或以境内设备回租资金支持境外投资，但需注意外汇与跨境监管合规。</w:t>
      </w:r>
    </w:p>
    <w:p>
      <w:pPr>
        <w:spacing w:lineRule="exact" w:line="600" w:before="0" w:after="0"/>
        <w:ind w:firstLine="420"/>
        <w:jc w:val="both"/>
      </w:pPr>
      <w:r>
        <w:rPr>
          <w:rFonts w:ascii="仿宋_GB2312" w:hAnsi="仿宋_GB2312" w:eastAsia="仿宋_GB2312"/>
          <w:b w:val="0"/>
          <w:color w:val="000000"/>
          <w:sz w:val="32"/>
        </w:rPr>
        <w:t>融资租赁是本项目风险缓释效果最好的产品之一：设备物权归租赁公司所有，叠加汽车产线设备的较好流通性，回收保障较强。</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小额贷款主要适用于公司上游中小供应商的短期周转需求，以及售后市场经销商的备货融资。单户额度建议100万—800万元，期限6—12个月，以泰展机电的采购订单、对账单或销售合同作为交易背景。对公司本体而言，其自身融资需求量级已超出小贷业务的适配区间，不宜作为主要产品。</w:t>
      </w:r>
    </w:p>
    <w:p>
      <w:pPr>
        <w:spacing w:lineRule="exact" w:line="600" w:before="120" w:after="120"/>
        <w:ind w:firstLine="420"/>
        <w:jc w:val="left"/>
      </w:pPr>
      <w:r>
        <w:rPr>
          <w:rFonts w:ascii="楷体_GB2312" w:hAnsi="楷体_GB2312" w:eastAsia="楷体_GB2312"/>
          <w:b w:val="0"/>
          <w:color w:val="000000"/>
          <w:sz w:val="32"/>
        </w:rPr>
        <w:t>（五）综合金融与股权协同建议</w:t>
      </w:r>
    </w:p>
    <w:p>
      <w:pPr>
        <w:spacing w:lineRule="exact" w:line="600" w:before="0" w:after="0"/>
        <w:ind w:firstLine="420"/>
        <w:jc w:val="both"/>
      </w:pPr>
      <w:r>
        <w:rPr>
          <w:rFonts w:ascii="仿宋_GB2312" w:hAnsi="仿宋_GB2312" w:eastAsia="仿宋_GB2312"/>
          <w:b w:val="0"/>
          <w:color w:val="000000"/>
          <w:sz w:val="32"/>
        </w:rPr>
        <w:t>除四类基础业务外，考虑到公司已完成股份制改造、设有董事会秘书、股权结构规范、拥有稀缺核心技术，具备较明确的资本市场预期，建议山东投资同步评估股权投资机会：可通过老股受让或增资方式参与，分享其空气泵国产替代的成长红利，并以股东身份获取财务信息，为债权类业务提供信息支撑，形成"投贷联动"的协同格局。</w:t>
      </w:r>
    </w:p>
    <w:p>
      <w:pPr>
        <w:spacing w:lineRule="exact" w:line="600" w:before="120" w:after="120"/>
        <w:ind w:firstLine="420"/>
        <w:jc w:val="left"/>
      </w:pPr>
      <w:r>
        <w:rPr>
          <w:rFonts w:ascii="楷体_GB2312" w:hAnsi="楷体_GB2312" w:eastAsia="楷体_GB2312"/>
          <w:b w:val="0"/>
          <w:color w:val="000000"/>
          <w:sz w:val="32"/>
        </w:rPr>
        <w:t>（六）业务切入建议</w:t>
      </w:r>
    </w:p>
    <w:p>
      <w:pPr>
        <w:spacing w:lineRule="exact" w:line="600" w:before="0" w:after="0"/>
        <w:ind w:firstLine="420"/>
        <w:jc w:val="both"/>
      </w:pPr>
      <w:r>
        <w:rPr>
          <w:rFonts w:ascii="仿宋_GB2312" w:hAnsi="仿宋_GB2312" w:eastAsia="仿宋_GB2312"/>
          <w:b w:val="0"/>
          <w:color w:val="000000"/>
          <w:sz w:val="32"/>
        </w:rPr>
        <w:t>优先级排序建议为：应收账款保理／票据融资（第一优先，场景最清晰、风险最低）→ 融资租赁售后回租（第二优先，物权保障强）→ 供应链反向保理（第三优先，需核心企业配合确权）→ 股权投资（择机推进）→ 小额贷款（仅面向其上下游中小主体）。风控要点：核查客户集中度与主机厂信用状况、商票承兑主体资质、境外投资项目的资金投向与合规手续、9家关联企业的资金往来情况。</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泰展机电科技股份有限公司是淄博市淄川区高端装备制造特色产业集群中规模最大、治理最规范、资本市场化程度最高的整机与成套装备类骨干企业。公司成立十五年来，形成了汽车零部件与工业自动化双轮驱动的业务格局，拥有汽车碳罐、底盘悬浮空气泵、EGR阀、电磁阀、伺服电机等700余种产品，员工406人、年产能500万套，属中型专业零部件制造企业。</w:t>
      </w:r>
    </w:p>
    <w:p>
      <w:pPr>
        <w:spacing w:lineRule="exact" w:line="600" w:before="0" w:after="0"/>
        <w:ind w:firstLine="420"/>
        <w:jc w:val="both"/>
      </w:pPr>
      <w:r>
        <w:rPr>
          <w:rFonts w:ascii="仿宋_GB2312" w:hAnsi="仿宋_GB2312" w:eastAsia="仿宋_GB2312"/>
          <w:b w:val="0"/>
          <w:color w:val="000000"/>
          <w:sz w:val="32"/>
        </w:rPr>
        <w:t>公司最突出的亮点有三：一是掌握汽车空气泵核心技术，为全球第四家、国内首家，技术稀缺性强，恰逢空气悬架国产化替代的行业机遇；二是股权结构优良，创始人相对控股、产业资本北汽华达参股、员工持股平台与20余名骨干直接持股，激励充分且客户资源有保障；三是治理规范，已完成股改并设立董事会秘书，注册资本100%实缴，具备清晰的资本市场路径。</w:t>
      </w:r>
    </w:p>
    <w:p>
      <w:pPr>
        <w:spacing w:lineRule="exact" w:line="600" w:before="0" w:after="0"/>
        <w:ind w:firstLine="420"/>
        <w:jc w:val="both"/>
      </w:pPr>
      <w:r>
        <w:rPr>
          <w:rFonts w:ascii="仿宋_GB2312" w:hAnsi="仿宋_GB2312" w:eastAsia="仿宋_GB2312"/>
          <w:b w:val="0"/>
          <w:color w:val="000000"/>
          <w:sz w:val="32"/>
        </w:rPr>
        <w:t>主要短板为：财务数据完全不透明；碳罐、EGR阀等内燃机专属产品面临新能源替代的结构性风险；对主机厂客户存在依赖，议价能力受年降机制压制；首次开展境外投资，跨境经营经验有待检验。</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公开规划与行业趋势判断，未来发展的三条主线为：其一，空气悬架国产替代放量。随着空气悬架从百万级豪华车下探至20万—30万元主流车型，国内空气泵需求将快速增长，公司作为国内首家掌握核心技术者有望充分受益，这是公司最重要的成长曲线。</w:t>
      </w:r>
    </w:p>
    <w:p>
      <w:pPr>
        <w:spacing w:lineRule="exact" w:line="600" w:before="0" w:after="0"/>
        <w:ind w:firstLine="420"/>
        <w:jc w:val="both"/>
      </w:pPr>
      <w:r>
        <w:rPr>
          <w:rFonts w:ascii="仿宋_GB2312" w:hAnsi="仿宋_GB2312" w:eastAsia="仿宋_GB2312"/>
          <w:b w:val="0"/>
          <w:color w:val="000000"/>
          <w:sz w:val="32"/>
        </w:rPr>
        <w:t>其二，产品结构向电动化兼容方向迁移。伺服电机与驱动器业务既可服务工业自动化市场，也可为汽车电动执行器提供技术支撑，是对冲内燃机件下滑的关键。</w:t>
      </w:r>
    </w:p>
    <w:p>
      <w:pPr>
        <w:spacing w:lineRule="exact" w:line="600" w:before="0" w:after="0"/>
        <w:ind w:firstLine="420"/>
        <w:jc w:val="both"/>
      </w:pPr>
      <w:r>
        <w:rPr>
          <w:rFonts w:ascii="仿宋_GB2312" w:hAnsi="仿宋_GB2312" w:eastAsia="仿宋_GB2312"/>
          <w:b w:val="0"/>
          <w:color w:val="000000"/>
          <w:sz w:val="32"/>
        </w:rPr>
        <w:t>其三，国际化布局。境外投资项目备案的完成标志着公司出海战略进入实施阶段，若能就近配套国际客户，将打开新的增长空间并分散单一市场风险。</w:t>
      </w:r>
    </w:p>
    <w:p>
      <w:pPr>
        <w:spacing w:lineRule="exact" w:line="600" w:before="0" w:after="0"/>
        <w:ind w:firstLine="420"/>
        <w:jc w:val="both"/>
      </w:pPr>
      <w:r>
        <w:rPr>
          <w:rFonts w:ascii="仿宋_GB2312" w:hAnsi="仿宋_GB2312" w:eastAsia="仿宋_GB2312"/>
          <w:b w:val="0"/>
          <w:color w:val="000000"/>
          <w:sz w:val="32"/>
        </w:rPr>
        <w:t>此外，公司具备较明确的资本市场诉求，若未来营收与利润规模达标，不排除申报北交所或创业板上市的可能，届时其融资能力与治理水平将进一步提升。</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新能源转型带来的存量业务替代压力，转型速度必须快于内燃机件下滑速度；二是空气悬架市场竞争加剧，国内多家企业正在布局，先发优势窗口期有限；三是主机厂年降与原材料波动的双向挤压；四是境外投资的执行风险；五是财务规范与信息披露需要进一步提升以匹配资本市场要求。</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结论：公司是集群内综合实力最强、成长确定性相对较高的企业，兼具技术稀缺性、治理规范性与产业资本背书，属于优质的中型制造业客户，适合开展多品种、较大规模的综合金融合作。</w:t>
      </w:r>
    </w:p>
    <w:p>
      <w:pPr>
        <w:spacing w:lineRule="exact" w:line="600" w:before="0" w:after="0"/>
        <w:ind w:firstLine="420"/>
        <w:jc w:val="both"/>
      </w:pPr>
      <w:r>
        <w:rPr>
          <w:rFonts w:ascii="仿宋_GB2312" w:hAnsi="仿宋_GB2312" w:eastAsia="仿宋_GB2312"/>
          <w:b w:val="0"/>
          <w:color w:val="000000"/>
          <w:sz w:val="32"/>
        </w:rPr>
        <w:t>对企业的建议：一是加快空气泵产能建设与客户定点拓展，抓住空气悬架渗透率提升的窗口期；二是明确制定内燃机零部件业务的退出或转型时间表，避免资产沉淀；三是聘请专业机构完成财务规范与内控体系建设，为上市做准备；四是审慎推进境外投资，做好前期法律、税务与汇率风险评估；五是在客户结构上适度分散，降低对单一整车集团的依赖。</w:t>
      </w:r>
    </w:p>
    <w:p>
      <w:pPr>
        <w:spacing w:lineRule="exact" w:line="600" w:before="0" w:after="0"/>
        <w:ind w:firstLine="420"/>
        <w:jc w:val="both"/>
      </w:pPr>
      <w:r>
        <w:rPr>
          <w:rFonts w:ascii="仿宋_GB2312" w:hAnsi="仿宋_GB2312" w:eastAsia="仿宋_GB2312"/>
          <w:b w:val="0"/>
          <w:color w:val="000000"/>
          <w:sz w:val="32"/>
        </w:rPr>
        <w:t>对山东投资的建议：以应收账款保理与票据融资作为首选切入点，快速建立业务关系；同步推进设备售后回租，实现规模化投放；中期争取成为其供应链金融主办机构；长期关注其上市进程，择机开展股权投资形成投贷联动。在授信审批中，应将新能源替代风险作为核心风险要素纳入评估，并要求企业定期提供空气泵业务的订单与收入占比数据作为跟踪指标。</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本报告工商登记信息（成立时间、统一社会信用代码、法定代表人、注册资本、注册地址、经营范围、企业类型、登记机关、核准日期）来源于国家企业信用信息公示系统及天眼查、企查查公开快照。</w:t>
      </w:r>
    </w:p>
    <w:p>
      <w:pPr>
        <w:spacing w:lineRule="exact" w:line="600" w:before="0" w:after="0"/>
        <w:ind w:firstLine="420"/>
        <w:jc w:val="both"/>
      </w:pPr>
      <w:r>
        <w:rPr>
          <w:rFonts w:ascii="仿宋_GB2312" w:hAnsi="仿宋_GB2312" w:eastAsia="仿宋_GB2312"/>
          <w:b w:val="0"/>
          <w:color w:val="000000"/>
          <w:sz w:val="32"/>
        </w:rPr>
        <w:t>股东出资明细、员工人数与社保参保数据来源于国家企业信用信息公示系统公示的公司2024年度、2025年度企业年报；持股比例系依据出资额与注册资本测算所得，已在文中注明测算口径。</w:t>
      </w:r>
    </w:p>
    <w:p>
      <w:pPr>
        <w:spacing w:lineRule="exact" w:line="600" w:before="0" w:after="0"/>
        <w:ind w:firstLine="420"/>
        <w:jc w:val="both"/>
      </w:pPr>
      <w:r>
        <w:rPr>
          <w:rFonts w:ascii="仿宋_GB2312" w:hAnsi="仿宋_GB2312" w:eastAsia="仿宋_GB2312"/>
          <w:b w:val="0"/>
          <w:color w:val="000000"/>
          <w:sz w:val="32"/>
        </w:rPr>
        <w:t>企业简介、产品谱系、治理链条、体系认证、研发投入与团队规模、生产设备与产能、产学研合作等信息来源于公司官方网站（www.zbtaizhan.com）及CNPP、买购网等品牌数据库公开企业资料。</w:t>
      </w:r>
    </w:p>
    <w:p>
      <w:pPr>
        <w:spacing w:lineRule="exact" w:line="600" w:before="0" w:after="0"/>
        <w:ind w:firstLine="420"/>
        <w:jc w:val="both"/>
      </w:pPr>
      <w:r>
        <w:rPr>
          <w:rFonts w:ascii="仿宋_GB2312" w:hAnsi="仿宋_GB2312" w:eastAsia="仿宋_GB2312"/>
          <w:b w:val="0"/>
          <w:color w:val="000000"/>
          <w:sz w:val="32"/>
        </w:rPr>
        <w:t>荣誉资质与近期动态（国家级高新技术企业、省级企业技术中心、中国商业联合会科学技术奖、境外投资项目备案）来源于企查查企业信息页面公开摘要；空气泵技术地位相关表述来源于淄川经济开发区产业集群调研公开信息。</w:t>
      </w:r>
    </w:p>
    <w:p>
      <w:pPr>
        <w:spacing w:lineRule="exact" w:line="600" w:before="0" w:after="0"/>
        <w:ind w:firstLine="420"/>
        <w:jc w:val="both"/>
      </w:pPr>
      <w:r>
        <w:rPr>
          <w:rFonts w:ascii="仿宋_GB2312" w:hAnsi="仿宋_GB2312" w:eastAsia="仿宋_GB2312"/>
          <w:b w:val="0"/>
          <w:color w:val="000000"/>
          <w:sz w:val="32"/>
        </w:rPr>
        <w:t>财务数据因公司为非上市企业且未公开披露，本报告未采用任何未经证实的估算数字，相关章节已明确标注"未公开披露"。以上信息统计时点截至2026年8月公开可查范围，建议实际业务合作前以企业提供的审计报告、征信报告及最新工商档案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