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淄博高新区机器人特色产业集群</w:t>
      </w:r>
    </w:p>
    <w:p>
      <w:pPr>
        <w:spacing w:lineRule="exact" w:line="600" w:before="240" w:after="240"/>
        <w:ind w:firstLine="0"/>
        <w:jc w:val="center"/>
      </w:pPr>
      <w:r>
        <w:rPr>
          <w:rFonts w:ascii="方正小标宋简体" w:hAnsi="方正小标宋简体" w:eastAsia="方正小标宋简体"/>
          <w:b w:val="0"/>
          <w:color w:val="000000"/>
          <w:sz w:val="44"/>
        </w:rPr>
        <w:t>法奥意威(淄博)机器人科技有限公司企业分析报告</w:t>
      </w:r>
    </w:p>
    <w:p>
      <w:pPr>
        <w:spacing w:lineRule="exact" w:line="600" w:before="0" w:after="0"/>
        <w:jc w:val="left"/>
      </w:pPr>
      <w:r>
        <w:rPr>
          <w:rFonts w:ascii="仿宋_GB2312" w:hAnsi="仿宋_GB2312" w:eastAsia="仿宋_GB2312"/>
          <w:b w:val="0"/>
          <w:color w:val="000000"/>
          <w:sz w:val="28"/>
        </w:rPr>
        <w:t>（本报告数据来源于公司年报/半年报、交易所及港交所公告、巨潮资讯网、东方财富、天眼查/爱企查/企查查、公司官网及权威媒体等公开渠道，统计时点截至最新披露信息；非上市企业未公开披露财务数据已如实标注，未作任何编造。报告供山东省投资有限公司业务参考之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法奥意威(淄博)机器人科技有限公司成立于2023年6月8日，法定代表人巩相峰，统一社会信用代码91370303MACKBYGD8W，企业类型为有限责任公司（自然人投资或控股的法人独资），注册资本6,631.8939万元（实缴6,631.8939万元），注册地址位于山东省淄博市高新区青龙山路9009号仪器仪表产业园2号综合楼4楼414（一照多址），登记机关为淄博高新技术产业开发区市场监督管理局，经营状态为存续，纳税人为增值税一般纳税人。参保人数约99人。</w:t>
      </w:r>
    </w:p>
    <w:p>
      <w:pPr>
        <w:spacing w:lineRule="exact" w:line="600" w:before="0" w:after="0"/>
        <w:ind w:firstLine="420"/>
        <w:jc w:val="both"/>
      </w:pPr>
      <w:r>
        <w:rPr>
          <w:rFonts w:ascii="仿宋_GB2312" w:hAnsi="仿宋_GB2312" w:eastAsia="仿宋_GB2312"/>
          <w:b w:val="0"/>
          <w:color w:val="000000"/>
          <w:sz w:val="32"/>
        </w:rPr>
        <w:t>股权结构：法奥(苏州)机器人技术股份有限公司持股100%，为法人独资企业；穿透后实际控制人为姚庭（通过法奥苏州间接持股约24.81%）。法奥苏州为协作机器人本体企业，已完成B轮融资，投资方包括高瓴、顺为、源码、阿里、美团等一线资本。淄博公司为法奥体系内重要生产基地与研发中心之一。</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设执行董事兼总经理巩相峰、财务负责人李科纬、监事王敏；作为法奥(苏州)机器人技术股份有限公司全资子公司，与苏州总部一体化运营。法奥体系拥有苏州、淄博两大生产基地，并自建苏州、威海、淄博三大研发中心，在北美、欧洲、日韩、东南亚、中东、南美等地设有以研发、销售为主的分公司。</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法奥意威(淄博)为法奥(苏州)机器人于2023年在淄博设立的协作机器人全资子公司，是纽氏达特孵化出的协作机器人产业链企业之一。依托淄博高新区机器人产业生态，快速建成淄博生产基地与研发中心。法奥体系已完成B轮融资（高瓴、顺为、源码、阿里、美团等领投），获评国家高新技术企业、中国潜在独角兽企业，已授权知识产权160余项（发明专利80余项、PCT专利申请10余项）。2024年六轴协作机器人出货6536台、出口量全国第一。</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企业定位为国内率先实现全核心零部件自主研发及生产的协作机器人公司、协作机器人“普及者”。主营业务为智能机器人的研发、制造与销售，人工智能硬件销售，工业机器人制造，电机及其控制系统研发，智能仓储装备销售及货物进出口等。产品负载覆盖3—30kg全系列协作机器人，并提供焊接、码垛、上下料、康养艾灸、摄影、喷涂等场景化解决方案。</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业务以协作机器人本体及核心零部件为主，并延伸软件系统（AIRLab算法平台）、生态配件（夹爪、3D视觉、AGV、力传感器）及行业解决方案。公司采用“标准化本体+软件基础设施”模式，将交付、集成、市场营销选择权让渡经销商，自身聚焦研发生产，经营效率高、应收账款与库存压力小。公司未公开披露分产品收入占比。</w:t>
      </w:r>
    </w:p>
    <w:p>
      <w:pPr>
        <w:spacing w:lineRule="exact" w:line="600" w:before="120" w:after="120"/>
        <w:ind w:firstLine="420"/>
        <w:jc w:val="left"/>
      </w:pPr>
      <w:r>
        <w:rPr>
          <w:rFonts w:ascii="楷体_GB2312" w:hAnsi="楷体_GB2312" w:eastAsia="楷体_GB2312"/>
          <w:b w:val="0"/>
          <w:color w:val="000000"/>
          <w:sz w:val="32"/>
        </w:rPr>
        <w:t>（二）主要产品与服务</w:t>
      </w:r>
    </w:p>
    <w:p>
      <w:pPr>
        <w:spacing w:lineRule="exact" w:line="600" w:before="0" w:after="0"/>
        <w:ind w:firstLine="420"/>
        <w:jc w:val="both"/>
      </w:pPr>
      <w:r>
        <w:rPr>
          <w:rFonts w:ascii="仿宋_GB2312" w:hAnsi="仿宋_GB2312" w:eastAsia="仿宋_GB2312"/>
          <w:b w:val="0"/>
          <w:color w:val="000000"/>
          <w:sz w:val="32"/>
        </w:rPr>
        <w:t>主导产品：负载3—30kg全系列协作机器人；协作焊接、码垛、上下料、螺丝锁付、康养、摄影、喷涂等应用软件；AIRLab工业互联网与离线仿真平台；生态配件（夹爪、3D视觉、AGV、力传感器）。全栈自研涵盖减速机、电机、驱动器、控制器到本体软件系统，满足欧洲、北美等严苛安规与质量认证。</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下游客户覆盖新能源汽车、日化、互联网、3C、医疗康养、餐饮等行业。全球顶级制造客户包括丰田、索尼、松下、LG、蔡司、宁德时代等；全球最大焊机焊材公司瑞典伊萨（ESAB）放弃自研相关软件，与法奥签订全球独家战略合作，采用法奥机器人及AIRLab平台。国内商用量产人形机器人企业亦为其生态关联客户。</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因全栈自研，核心零部件（减速机、电机、驱动器、控制器）以自主生产为主，外采主要为通用电子元件、结构件与标准件；供应链自主可控性强，受第三方零部件制约小。</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拥有苏州、淄博两大生产基地与三大研发中心（苏州、威海、淄博）；已授权知识产权160余项（发明专利80余项、PCT 10余项）；获评国家高新技术企业、中国潜在独角兽企业、2024年度“中国市场协作焊接机器人出货量TOP1”及“中国协作机器人出海量TOP1”。淄博基地为协作机器人重要量产支撑。</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采用“经销商+直营”结合，自身专注标准化本体与软件；海外已设立50余个销售网点，覆盖北美、欧洲、日韩、东南亚等100多个国家和地区，欧洲市场占比约49%居第一。AI大数据扩客系统实现精准客户定位与线上闭环交易。</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据公开报道：2024年法奥全年出货近7,000台，其中出口海外约1,300台；2025年订单量突破1.3万台、出货量突破1.1万台，海外签单量超4,200台（同比+251%）、海外出货量超3,100台（同比+176%）。淄博高新区披露其2024年六轴协作机器人出货6,536台、出口量全国第一；国内协作机器人出货量已站上第一位置。注：淄博子公司单体财务未公开，上述为法奥体系经营数据。</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jc w:val="left"/>
      </w:pPr>
      <w:r>
        <w:rPr>
          <w:rFonts w:ascii="仿宋_GB2312" w:hAnsi="仿宋_GB2312" w:eastAsia="仿宋_GB2312"/>
          <w:b w:val="0"/>
          <w:color w:val="000000"/>
          <w:sz w:val="28"/>
        </w:rPr>
        <w:t>法奥意威(淄博)为法奥(苏州)全资子公司，非上市，单体近三年财务报表未公开披露；以下列法奥体系公开经营数据（出货台数），不作财务数据编造。</w:t>
      </w:r>
    </w:p>
    <w:tbl>
      <w:tblPr>
        <w:tblStyle w:val="TableGrid"/>
        <w:tblW w:type="auto" w:w="0"/>
        <w:jc w:val="center"/>
        <w:tblLook w:firstColumn="1" w:firstRow="1" w:lastColumn="0" w:lastRow="0" w:noHBand="0" w:noVBand="1" w:val="04A0"/>
      </w:tblPr>
      <w:tblGrid>
        <w:gridCol w:w="4422"/>
        <w:gridCol w:w="4422"/>
      </w:tblGrid>
      <w:tr>
        <w:tc>
          <w:tcPr>
            <w:tcW w:type="dxa" w:w="2721"/>
          </w:tcPr>
          <w:p>
            <w:pPr>
              <w:spacing w:lineRule="exact" w:line="600"/>
              <w:jc w:val="center"/>
            </w:pPr>
            <w:r/>
            <w:r>
              <w:rPr>
                <w:rFonts w:ascii="黑体" w:hAnsi="黑体" w:eastAsia="黑体"/>
                <w:b/>
                <w:color w:val="000000"/>
                <w:sz w:val="32"/>
              </w:rPr>
              <w:t>指标</w:t>
            </w:r>
          </w:p>
        </w:tc>
        <w:tc>
          <w:tcPr>
            <w:tcW w:type="dxa" w:w="6066"/>
          </w:tcPr>
          <w:p>
            <w:pPr>
              <w:spacing w:lineRule="exact" w:line="600"/>
              <w:jc w:val="center"/>
            </w:pPr>
            <w:r/>
            <w:r>
              <w:rPr>
                <w:rFonts w:ascii="黑体" w:hAnsi="黑体" w:eastAsia="黑体"/>
                <w:b/>
                <w:color w:val="000000"/>
                <w:sz w:val="32"/>
              </w:rPr>
              <w:t>公开披露值</w:t>
            </w:r>
          </w:p>
        </w:tc>
      </w:tr>
      <w:tr>
        <w:tc>
          <w:tcPr>
            <w:tcW w:type="dxa" w:w="2721"/>
          </w:tcPr>
          <w:p>
            <w:pPr>
              <w:spacing w:lineRule="exact" w:line="600"/>
              <w:jc w:val="center"/>
            </w:pPr>
            <w:r/>
            <w:r>
              <w:rPr>
                <w:rFonts w:ascii="仿宋_GB2312" w:hAnsi="仿宋_GB2312" w:eastAsia="仿宋_GB2312"/>
                <w:b w:val="0"/>
                <w:color w:val="000000"/>
                <w:sz w:val="32"/>
              </w:rPr>
              <w:t>注册资本（淄博子公司）</w:t>
            </w:r>
          </w:p>
        </w:tc>
        <w:tc>
          <w:tcPr>
            <w:tcW w:type="dxa" w:w="6066"/>
          </w:tcPr>
          <w:p>
            <w:pPr>
              <w:spacing w:lineRule="exact" w:line="600"/>
              <w:jc w:val="center"/>
            </w:pPr>
            <w:r/>
            <w:r>
              <w:rPr>
                <w:rFonts w:ascii="仿宋_GB2312" w:hAnsi="仿宋_GB2312" w:eastAsia="仿宋_GB2312"/>
                <w:b w:val="0"/>
                <w:color w:val="000000"/>
                <w:sz w:val="32"/>
              </w:rPr>
              <w:t>6,631.8939万元（实缴同）</w:t>
            </w:r>
          </w:p>
        </w:tc>
      </w:tr>
      <w:tr>
        <w:tc>
          <w:tcPr>
            <w:tcW w:type="dxa" w:w="2721"/>
          </w:tcPr>
          <w:p>
            <w:pPr>
              <w:spacing w:lineRule="exact" w:line="600"/>
              <w:jc w:val="center"/>
            </w:pPr>
            <w:r/>
            <w:r>
              <w:rPr>
                <w:rFonts w:ascii="仿宋_GB2312" w:hAnsi="仿宋_GB2312" w:eastAsia="仿宋_GB2312"/>
                <w:b w:val="0"/>
                <w:color w:val="000000"/>
                <w:sz w:val="32"/>
              </w:rPr>
              <w:t>成立时间</w:t>
            </w:r>
          </w:p>
        </w:tc>
        <w:tc>
          <w:tcPr>
            <w:tcW w:type="dxa" w:w="6066"/>
          </w:tcPr>
          <w:p>
            <w:pPr>
              <w:spacing w:lineRule="exact" w:line="600"/>
              <w:jc w:val="center"/>
            </w:pPr>
            <w:r/>
            <w:r>
              <w:rPr>
                <w:rFonts w:ascii="仿宋_GB2312" w:hAnsi="仿宋_GB2312" w:eastAsia="仿宋_GB2312"/>
                <w:b w:val="0"/>
                <w:color w:val="000000"/>
                <w:sz w:val="32"/>
              </w:rPr>
              <w:t>2023-06-08</w:t>
            </w:r>
          </w:p>
        </w:tc>
      </w:tr>
      <w:tr>
        <w:tc>
          <w:tcPr>
            <w:tcW w:type="dxa" w:w="2721"/>
          </w:tcPr>
          <w:p>
            <w:pPr>
              <w:spacing w:lineRule="exact" w:line="600"/>
              <w:jc w:val="center"/>
            </w:pPr>
            <w:r/>
            <w:r>
              <w:rPr>
                <w:rFonts w:ascii="仿宋_GB2312" w:hAnsi="仿宋_GB2312" w:eastAsia="仿宋_GB2312"/>
                <w:b w:val="0"/>
                <w:color w:val="000000"/>
                <w:sz w:val="32"/>
              </w:rPr>
              <w:t>实控人</w:t>
            </w:r>
          </w:p>
        </w:tc>
        <w:tc>
          <w:tcPr>
            <w:tcW w:type="dxa" w:w="6066"/>
          </w:tcPr>
          <w:p>
            <w:pPr>
              <w:spacing w:lineRule="exact" w:line="600"/>
              <w:jc w:val="center"/>
            </w:pPr>
            <w:r/>
            <w:r>
              <w:rPr>
                <w:rFonts w:ascii="仿宋_GB2312" w:hAnsi="仿宋_GB2312" w:eastAsia="仿宋_GB2312"/>
                <w:b w:val="0"/>
                <w:color w:val="000000"/>
                <w:sz w:val="32"/>
              </w:rPr>
              <w:t>姚庭（穿透约24.81%）</w:t>
            </w:r>
          </w:p>
        </w:tc>
      </w:tr>
      <w:tr>
        <w:tc>
          <w:tcPr>
            <w:tcW w:type="dxa" w:w="2721"/>
          </w:tcPr>
          <w:p>
            <w:pPr>
              <w:spacing w:lineRule="exact" w:line="600"/>
              <w:jc w:val="center"/>
            </w:pPr>
            <w:r/>
            <w:r>
              <w:rPr>
                <w:rFonts w:ascii="仿宋_GB2312" w:hAnsi="仿宋_GB2312" w:eastAsia="仿宋_GB2312"/>
                <w:b w:val="0"/>
                <w:color w:val="000000"/>
                <w:sz w:val="32"/>
              </w:rPr>
              <w:t>2024年出货量</w:t>
            </w:r>
          </w:p>
        </w:tc>
        <w:tc>
          <w:tcPr>
            <w:tcW w:type="dxa" w:w="6066"/>
          </w:tcPr>
          <w:p>
            <w:pPr>
              <w:spacing w:lineRule="exact" w:line="600"/>
              <w:jc w:val="center"/>
            </w:pPr>
            <w:r/>
            <w:r>
              <w:rPr>
                <w:rFonts w:ascii="仿宋_GB2312" w:hAnsi="仿宋_GB2312" w:eastAsia="仿宋_GB2312"/>
                <w:b w:val="0"/>
                <w:color w:val="000000"/>
                <w:sz w:val="32"/>
              </w:rPr>
              <w:t>近7,000台（出口约1,300台）</w:t>
            </w:r>
          </w:p>
        </w:tc>
      </w:tr>
      <w:tr>
        <w:tc>
          <w:tcPr>
            <w:tcW w:type="dxa" w:w="2721"/>
          </w:tcPr>
          <w:p>
            <w:pPr>
              <w:spacing w:lineRule="exact" w:line="600"/>
              <w:jc w:val="center"/>
            </w:pPr>
            <w:r/>
            <w:r>
              <w:rPr>
                <w:rFonts w:ascii="仿宋_GB2312" w:hAnsi="仿宋_GB2312" w:eastAsia="仿宋_GB2312"/>
                <w:b w:val="0"/>
                <w:color w:val="000000"/>
                <w:sz w:val="32"/>
              </w:rPr>
              <w:t>2025年出货量</w:t>
            </w:r>
          </w:p>
        </w:tc>
        <w:tc>
          <w:tcPr>
            <w:tcW w:type="dxa" w:w="6066"/>
          </w:tcPr>
          <w:p>
            <w:pPr>
              <w:spacing w:lineRule="exact" w:line="600"/>
              <w:jc w:val="center"/>
            </w:pPr>
            <w:r/>
            <w:r>
              <w:rPr>
                <w:rFonts w:ascii="仿宋_GB2312" w:hAnsi="仿宋_GB2312" w:eastAsia="仿宋_GB2312"/>
                <w:b w:val="0"/>
                <w:color w:val="000000"/>
                <w:sz w:val="32"/>
              </w:rPr>
              <w:t>突破1.1万台（出口超3,100台）</w:t>
            </w:r>
          </w:p>
        </w:tc>
      </w:tr>
      <w:tr>
        <w:tc>
          <w:tcPr>
            <w:tcW w:type="dxa" w:w="2721"/>
          </w:tcPr>
          <w:p>
            <w:pPr>
              <w:spacing w:lineRule="exact" w:line="600"/>
              <w:jc w:val="center"/>
            </w:pPr>
            <w:r/>
            <w:r>
              <w:rPr>
                <w:rFonts w:ascii="仿宋_GB2312" w:hAnsi="仿宋_GB2312" w:eastAsia="仿宋_GB2312"/>
                <w:b w:val="0"/>
                <w:color w:val="000000"/>
                <w:sz w:val="32"/>
              </w:rPr>
              <w:t>海外销售网点</w:t>
            </w:r>
          </w:p>
        </w:tc>
        <w:tc>
          <w:tcPr>
            <w:tcW w:type="dxa" w:w="6066"/>
          </w:tcPr>
          <w:p>
            <w:pPr>
              <w:spacing w:lineRule="exact" w:line="600"/>
              <w:jc w:val="center"/>
            </w:pPr>
            <w:r/>
            <w:r>
              <w:rPr>
                <w:rFonts w:ascii="仿宋_GB2312" w:hAnsi="仿宋_GB2312" w:eastAsia="仿宋_GB2312"/>
                <w:b w:val="0"/>
                <w:color w:val="000000"/>
                <w:sz w:val="32"/>
              </w:rPr>
              <w:t>50余个，覆盖100+国家</w:t>
            </w:r>
          </w:p>
        </w:tc>
      </w:tr>
      <w:tr>
        <w:tc>
          <w:tcPr>
            <w:tcW w:type="dxa" w:w="2721"/>
          </w:tcPr>
          <w:p>
            <w:pPr>
              <w:spacing w:lineRule="exact" w:line="600"/>
              <w:jc w:val="center"/>
            </w:pPr>
            <w:r/>
            <w:r>
              <w:rPr>
                <w:rFonts w:ascii="仿宋_GB2312" w:hAnsi="仿宋_GB2312" w:eastAsia="仿宋_GB2312"/>
                <w:b w:val="0"/>
                <w:color w:val="000000"/>
                <w:sz w:val="32"/>
              </w:rPr>
              <w:t>营收/利润</w:t>
            </w:r>
          </w:p>
        </w:tc>
        <w:tc>
          <w:tcPr>
            <w:tcW w:type="dxa" w:w="6066"/>
          </w:tcPr>
          <w:p>
            <w:pPr>
              <w:spacing w:lineRule="exact" w:line="600"/>
              <w:jc w:val="center"/>
            </w:pPr>
            <w:r/>
            <w:r>
              <w:rPr>
                <w:rFonts w:ascii="仿宋_GB2312" w:hAnsi="仿宋_GB2312" w:eastAsia="仿宋_GB2312"/>
                <w:b w:val="0"/>
                <w:color w:val="000000"/>
                <w:sz w:val="32"/>
              </w:rPr>
              <w:t>未公开披露</w:t>
            </w:r>
          </w:p>
        </w:tc>
      </w:tr>
    </w:tbl>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财务数据未公开披露。法奥采用“标准化本体+软件”轻集成模式，几乎无应收账款与库存积压，现金流结构异常健康，为高强度研发与快速扩张提供基础；协作机器人量价齐升背景下盈利弹性较大。</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无公开资产数据。作为研发制造型企业，固定资产（产线）与无形资产（专利、软件）为主；双基地+三中心布局资产规模适中。</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无公开负债数据。已完成B轮融资，资本实力较强；建议授信前核查有息负债。</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据机器人大讲堂报道，公司“几乎没有应收账款和库存积压压力，现金流结构异常健康”，经营现金流表现优于多数依赖集成、深陷应收的同行。</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在国内协作机器人领域，法奥出货量已居第一，并与遨博（淄博另一协作机器人龙头、出货连续五年全国第一）共同构成淄博“协作机器人占全国40%、全球13%”的产业高地；相较多数依赖第三方零部件的同行，法奥全栈自研的认证壁垒与出海能力构成差异化优势。</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法人独资企业，设执行董事兼总经理、财务负责人、监事；作为法奥体系内企业，治理与决策由苏州总部统筹，按现代股份制企业规范运作。</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淄博子公司法定代表人、执行董事兼总经理巩相峰；财务负责人李科纬；监事王敏。法奥体系由实际控制人姚庭主导战略，核心团队具备深厚协作机器人技术背景。</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建立研发、生产、销售一体化内控体系；作为国家高新技术企业、潜在独角兽，通过多项质量与安规认证；淄博基地承担量产与研发职能，内控与质量体系较完备。</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淄博子公司参保约99人，以研发、生产与技术为主；法奥体系研发团队规模较大，三大研发中心支撑技术创新。</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全栈自研壁垒：国内率先实现全核心零部件（减速机、电机、驱动器、控制器、本体软件）自主研发生产，满足欧美观严苛安规认证，构筑同行难以复制的出海准入门槛。二是出海能力：海外50余个网点、覆盖100+国家、欧洲占比第一，2025年海外出货同比+176%，是全球协作机器人出海成功典型。三是商业模式：标准化本体+软件、轻集成模式使应收账款与库存压力极小、现金流健康，支撑高强度研发。四是头部客户背书：丰田、索尼、松下、LG、蔡司、宁德时代及ESAB全球独家合作验证产品力。五是资本与资质：B轮一线资本加持、潜在独角兽、国家高新技术企业。</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是行业竞争与价格风险：协作机器人国内竞争白热化、价格下行；应对为全栈自研降本与高端出海。二是客户与出海风险：海外占比高，受贸易摩擦、认证与汇率影响；应对为多点布局与本地化。三是技术迭代风险：AI与具身智能演进快，需持续投入；应对为AIRLab平台与高频研发。四是股权与母公司依赖风险：淄博子公司依赖法奥苏州，单体独立性有限；应对为关注集团整体信用。五是产能消化风险：出货量高速增长下需匹配产能与质量。</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保理业务：对丰田、宁德时代等头部客户的应收账款可开展保理。供应链金融：围绕核心企业为其上游零部件供应商提供订单融资。融资租赁：淄博及苏州基地扩产设备适合直租/回租。小贷：面向生态内中小配套企业短期周转。鉴于法奥出货量国内第一、现金流健康、资本背书强，可作为优质重点客户，以“应收保理+设备融资租赁”组合切入，关注集团合并口径与海外风险。</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法奥意威(淄博)是淄博机器人集群协作机器人龙头法奥体系的核心基地，全栈自研、出海领先、商业模式优、现金流健康，是优质高成长标的；但淄博子公司单体财务不透明、依赖母公司、行业竞争激烈。发展展望：据行业趋势，协作机器人在工业与消费场景加速渗透，法奥目标瞄准全球第一，2025年出货已破1.1万台。建议：一是对接应收保理与设备融资租赁；二是要求补充集团合并财务资料并以增信控制风险；三是关注海外贸易与汇率风险，设置动态监测。</w:t>
      </w:r>
    </w:p>
    <w:p>
      <w:pPr>
        <w:spacing w:lineRule="exact" w:line="600" w:before="0" w:after="0"/>
        <w:jc w:val="left"/>
      </w:pPr>
      <w:r>
        <w:rPr>
          <w:rFonts w:ascii="仿宋_GB2312" w:hAnsi="仿宋_GB2312" w:eastAsia="仿宋_GB2312"/>
          <w:b w:val="0"/>
          <w:color w:val="000000"/>
          <w:sz w:val="28"/>
        </w:rPr>
        <w:t>数据来源说明：天眼查/爱企查/企查查/水滴（工商、股权、注册资本）、淄博高新区发布会及淄博日报（2024六轴协作机器人出货6536台、出口全国第一）、法奥官网 frtech.cc、机器人大讲堂/同花顺（出货量、B轮融资、客户）、搜狐/大众网（协作焊接机器人出货TOP1、出海量TOP1）。单体财务未公开披露，已如实标注。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