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滕州市玻璃新材料特色产业集群</w:t>
      </w:r>
    </w:p>
    <w:p>
      <w:pPr>
        <w:spacing w:lineRule="exact" w:line="600" w:before="240" w:after="240"/>
        <w:ind w:firstLine="0"/>
        <w:jc w:val="center"/>
      </w:pPr>
      <w:r>
        <w:rPr>
          <w:rFonts w:ascii="方正小标宋简体" w:hAnsi="方正小标宋简体" w:eastAsia="方正小标宋简体"/>
          <w:b w:val="0"/>
          <w:color w:val="000000"/>
          <w:sz w:val="44"/>
        </w:rPr>
        <w:t>滕州市丰华玻璃有限公司企业分析报告</w:t>
      </w:r>
    </w:p>
    <w:p>
      <w:pPr>
        <w:spacing w:lineRule="exact" w:line="600" w:before="0" w:after="0"/>
        <w:jc w:val="left"/>
      </w:pPr>
      <w:r>
        <w:rPr>
          <w:rFonts w:ascii="仿宋_GB2312" w:hAnsi="仿宋_GB2312" w:eastAsia="仿宋_GB2312"/>
          <w:b w:val="0"/>
          <w:color w:val="000000"/>
          <w:sz w:val="28"/>
        </w:rPr>
        <w:t>（说明：滕州市丰华玻璃有限公司为滕州市鲍沟镇玻璃新材料产业集群的支撑企业，成立于1999年，专注玻璃深加工。经核查国家企业信用信息公示系统、天眼查、爱企查、企查查公开快照及公司官网（fenghuaglass.com），公司为非上市民营企业，财务数据未公开披露。本报告文件名与集群名录保持一致，分析对象为滕州市丰华玻璃有限公司。本报告数据来源于国家企业信用信息公示系统、天眼查/爱企查/企查查公开快照、公司官网及大众日报/滕州玻璃新材料论坛等公开报道，统计时点截至2026年8月公开可查范围。）</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滕州市丰华玻璃有限公司成立于1999年4月1日，统一社会信用代码为913704811698957864，工商注册号370481228001806，组织机构代码16989578-6，纳税人识别号913704811698957864。</w:t>
      </w:r>
    </w:p>
    <w:p>
      <w:pPr>
        <w:spacing w:lineRule="exact" w:line="600" w:before="0" w:after="0"/>
        <w:ind w:firstLine="420"/>
        <w:jc w:val="both"/>
      </w:pPr>
      <w:r>
        <w:rPr>
          <w:rFonts w:ascii="仿宋_GB2312" w:hAnsi="仿宋_GB2312" w:eastAsia="仿宋_GB2312"/>
          <w:b w:val="0"/>
          <w:color w:val="000000"/>
          <w:sz w:val="32"/>
        </w:rPr>
        <w:t>公司法定代表人为王伟，登记机关为滕州市市场监督管理局，企业类型为有限责任公司（自然人投资或控股），登记状态为存续（在营），营业期限自1999年4月1日起无固定期限，纳税人资质为增值税一般纳税人，2025年获评A级纳税人。</w:t>
      </w:r>
    </w:p>
    <w:p>
      <w:pPr>
        <w:spacing w:lineRule="exact" w:line="600" w:before="0" w:after="0"/>
        <w:ind w:firstLine="420"/>
        <w:jc w:val="both"/>
      </w:pPr>
      <w:r>
        <w:rPr>
          <w:rFonts w:ascii="仿宋_GB2312" w:hAnsi="仿宋_GB2312" w:eastAsia="仿宋_GB2312"/>
          <w:b w:val="0"/>
          <w:color w:val="000000"/>
          <w:sz w:val="32"/>
        </w:rPr>
        <w:t>公司注册资本为2000万元人民币（早期工商登记曾为300万元，后增资至2000万元）。注册地址与生产经营地址位于山东省滕州市鲍沟镇经济开发区108号（一照多址），所属行业为非金属矿物制品业—玻璃制品制造—日用玻璃制品制造，企业规模认定为小型企业。</w:t>
      </w:r>
    </w:p>
    <w:p>
      <w:pPr>
        <w:spacing w:lineRule="exact" w:line="600" w:before="0" w:after="0"/>
        <w:ind w:firstLine="420"/>
        <w:jc w:val="both"/>
      </w:pPr>
      <w:r>
        <w:rPr>
          <w:rFonts w:ascii="仿宋_GB2312" w:hAnsi="仿宋_GB2312" w:eastAsia="仿宋_GB2312"/>
          <w:b w:val="0"/>
          <w:color w:val="000000"/>
          <w:sz w:val="32"/>
        </w:rPr>
        <w:t>经营范围为：普通货运（在道路运输经营许可证核准范围内经营）；制造销售：玻璃制品、铝合金型材；经营本企业相关产品的进出口业务。公司持有道路运输经营许可，具备货物进出口资质，为国家高新技术企业（2023年认定）、专精特新中小企业、创新型中小企业。</w:t>
      </w:r>
    </w:p>
    <w:p>
      <w:pPr>
        <w:spacing w:lineRule="exact" w:line="600" w:before="120" w:after="120"/>
        <w:ind w:firstLine="420"/>
        <w:jc w:val="left"/>
      </w:pPr>
      <w:r>
        <w:rPr>
          <w:rFonts w:ascii="楷体_GB2312" w:hAnsi="楷体_GB2312" w:eastAsia="楷体_GB2312"/>
          <w:b w:val="0"/>
          <w:color w:val="000000"/>
          <w:sz w:val="32"/>
        </w:rPr>
        <w:t>（二）股权结构与实际控制人</w:t>
      </w:r>
    </w:p>
    <w:p>
      <w:pPr>
        <w:spacing w:lineRule="exact" w:line="600" w:before="0" w:after="0"/>
        <w:ind w:firstLine="420"/>
        <w:jc w:val="both"/>
      </w:pPr>
      <w:r>
        <w:rPr>
          <w:rFonts w:ascii="仿宋_GB2312" w:hAnsi="仿宋_GB2312" w:eastAsia="仿宋_GB2312"/>
          <w:b w:val="0"/>
          <w:color w:val="000000"/>
          <w:sz w:val="32"/>
        </w:rPr>
        <w:t>根据公开工商信息，公司股权结构为自然人王伟持股90%、范玉然持股10%，为典型的家族/自然人控股民营企业，实际控制人为王伟。</w:t>
      </w:r>
    </w:p>
    <w:tbl>
      <w:tblPr>
        <w:tblStyle w:val="TableGrid"/>
        <w:tblW w:type="auto" w:w="0"/>
        <w:jc w:val="center"/>
        <w:tblLook w:firstColumn="1" w:firstRow="1" w:lastColumn="0" w:lastRow="0" w:noHBand="0" w:noVBand="1" w:val="04A0"/>
      </w:tblPr>
      <w:tblGrid>
        <w:gridCol w:w="2211"/>
        <w:gridCol w:w="2211"/>
        <w:gridCol w:w="2211"/>
        <w:gridCol w:w="2211"/>
      </w:tblGrid>
      <w:tr>
        <w:tc>
          <w:tcPr>
            <w:tcW w:type="dxa" w:w="2835"/>
          </w:tcPr>
          <w:p>
            <w:pPr>
              <w:spacing w:lineRule="exact" w:line="600"/>
              <w:jc w:val="center"/>
            </w:pPr>
            <w:r/>
            <w:r>
              <w:rPr>
                <w:rFonts w:ascii="黑体" w:hAnsi="黑体" w:eastAsia="黑体"/>
                <w:b/>
                <w:color w:val="000000"/>
                <w:sz w:val="32"/>
              </w:rPr>
              <w:t>股东名称</w:t>
            </w:r>
          </w:p>
        </w:tc>
        <w:tc>
          <w:tcPr>
            <w:tcW w:type="dxa" w:w="2268"/>
          </w:tcPr>
          <w:p>
            <w:pPr>
              <w:spacing w:lineRule="exact" w:line="600"/>
              <w:jc w:val="center"/>
            </w:pPr>
            <w:r/>
            <w:r>
              <w:rPr>
                <w:rFonts w:ascii="黑体" w:hAnsi="黑体" w:eastAsia="黑体"/>
                <w:b/>
                <w:color w:val="000000"/>
                <w:sz w:val="32"/>
              </w:rPr>
              <w:t>股东性质</w:t>
            </w:r>
          </w:p>
        </w:tc>
        <w:tc>
          <w:tcPr>
            <w:tcW w:type="dxa" w:w="1474"/>
          </w:tcPr>
          <w:p>
            <w:pPr>
              <w:spacing w:lineRule="exact" w:line="600"/>
              <w:jc w:val="center"/>
            </w:pPr>
            <w:r/>
            <w:r>
              <w:rPr>
                <w:rFonts w:ascii="黑体" w:hAnsi="黑体" w:eastAsia="黑体"/>
                <w:b/>
                <w:color w:val="000000"/>
                <w:sz w:val="32"/>
              </w:rPr>
              <w:t>持股比例</w:t>
            </w:r>
          </w:p>
        </w:tc>
        <w:tc>
          <w:tcPr>
            <w:tcW w:type="dxa" w:w="2381"/>
          </w:tcPr>
          <w:p>
            <w:pPr>
              <w:spacing w:lineRule="exact" w:line="600"/>
              <w:jc w:val="center"/>
            </w:pPr>
            <w:r/>
            <w:r>
              <w:rPr>
                <w:rFonts w:ascii="黑体" w:hAnsi="黑体" w:eastAsia="黑体"/>
                <w:b/>
                <w:color w:val="000000"/>
                <w:sz w:val="32"/>
              </w:rPr>
              <w:t>备注</w:t>
            </w:r>
          </w:p>
        </w:tc>
      </w:tr>
      <w:tr>
        <w:tc>
          <w:tcPr>
            <w:tcW w:type="dxa" w:w="2835"/>
          </w:tcPr>
          <w:p>
            <w:pPr>
              <w:spacing w:lineRule="exact" w:line="600"/>
              <w:jc w:val="center"/>
            </w:pPr>
            <w:r/>
            <w:r>
              <w:rPr>
                <w:rFonts w:ascii="仿宋_GB2312" w:hAnsi="仿宋_GB2312" w:eastAsia="仿宋_GB2312"/>
                <w:b w:val="0"/>
                <w:color w:val="000000"/>
                <w:sz w:val="32"/>
              </w:rPr>
              <w:t>王伟</w:t>
            </w:r>
          </w:p>
        </w:tc>
        <w:tc>
          <w:tcPr>
            <w:tcW w:type="dxa" w:w="2268"/>
          </w:tcPr>
          <w:p>
            <w:pPr>
              <w:spacing w:lineRule="exact" w:line="600"/>
              <w:jc w:val="center"/>
            </w:pPr>
            <w:r/>
            <w:r>
              <w:rPr>
                <w:rFonts w:ascii="仿宋_GB2312" w:hAnsi="仿宋_GB2312" w:eastAsia="仿宋_GB2312"/>
                <w:b w:val="0"/>
                <w:color w:val="000000"/>
                <w:sz w:val="32"/>
              </w:rPr>
              <w:t>境内自然人</w:t>
            </w:r>
          </w:p>
        </w:tc>
        <w:tc>
          <w:tcPr>
            <w:tcW w:type="dxa" w:w="1474"/>
          </w:tcPr>
          <w:p>
            <w:pPr>
              <w:spacing w:lineRule="exact" w:line="600"/>
              <w:jc w:val="center"/>
            </w:pPr>
            <w:r/>
            <w:r>
              <w:rPr>
                <w:rFonts w:ascii="仿宋_GB2312" w:hAnsi="仿宋_GB2312" w:eastAsia="仿宋_GB2312"/>
                <w:b w:val="0"/>
                <w:color w:val="000000"/>
                <w:sz w:val="32"/>
              </w:rPr>
              <w:t>90.00%</w:t>
            </w:r>
          </w:p>
        </w:tc>
        <w:tc>
          <w:tcPr>
            <w:tcW w:type="dxa" w:w="2381"/>
          </w:tcPr>
          <w:p>
            <w:pPr>
              <w:spacing w:lineRule="exact" w:line="600"/>
              <w:jc w:val="center"/>
            </w:pPr>
            <w:r/>
            <w:r>
              <w:rPr>
                <w:rFonts w:ascii="仿宋_GB2312" w:hAnsi="仿宋_GB2312" w:eastAsia="仿宋_GB2312"/>
                <w:b w:val="0"/>
                <w:color w:val="000000"/>
                <w:sz w:val="32"/>
              </w:rPr>
              <w:t>法定代表人、实际控制人</w:t>
            </w:r>
          </w:p>
        </w:tc>
      </w:tr>
      <w:tr>
        <w:tc>
          <w:tcPr>
            <w:tcW w:type="dxa" w:w="2835"/>
          </w:tcPr>
          <w:p>
            <w:pPr>
              <w:spacing w:lineRule="exact" w:line="600"/>
              <w:jc w:val="center"/>
            </w:pPr>
            <w:r/>
            <w:r>
              <w:rPr>
                <w:rFonts w:ascii="仿宋_GB2312" w:hAnsi="仿宋_GB2312" w:eastAsia="仿宋_GB2312"/>
                <w:b w:val="0"/>
                <w:color w:val="000000"/>
                <w:sz w:val="32"/>
              </w:rPr>
              <w:t>范玉然</w:t>
            </w:r>
          </w:p>
        </w:tc>
        <w:tc>
          <w:tcPr>
            <w:tcW w:type="dxa" w:w="2268"/>
          </w:tcPr>
          <w:p>
            <w:pPr>
              <w:spacing w:lineRule="exact" w:line="600"/>
              <w:jc w:val="center"/>
            </w:pPr>
            <w:r/>
            <w:r>
              <w:rPr>
                <w:rFonts w:ascii="仿宋_GB2312" w:hAnsi="仿宋_GB2312" w:eastAsia="仿宋_GB2312"/>
                <w:b w:val="0"/>
                <w:color w:val="000000"/>
                <w:sz w:val="32"/>
              </w:rPr>
              <w:t>境内自然人</w:t>
            </w:r>
          </w:p>
        </w:tc>
        <w:tc>
          <w:tcPr>
            <w:tcW w:type="dxa" w:w="1474"/>
          </w:tcPr>
          <w:p>
            <w:pPr>
              <w:spacing w:lineRule="exact" w:line="600"/>
              <w:jc w:val="center"/>
            </w:pPr>
            <w:r/>
            <w:r>
              <w:rPr>
                <w:rFonts w:ascii="仿宋_GB2312" w:hAnsi="仿宋_GB2312" w:eastAsia="仿宋_GB2312"/>
                <w:b w:val="0"/>
                <w:color w:val="000000"/>
                <w:sz w:val="32"/>
              </w:rPr>
              <w:t>10.00%</w:t>
            </w:r>
          </w:p>
        </w:tc>
        <w:tc>
          <w:tcPr>
            <w:tcW w:type="dxa" w:w="2381"/>
          </w:tcPr>
          <w:p>
            <w:pPr>
              <w:spacing w:lineRule="exact" w:line="600"/>
              <w:jc w:val="center"/>
            </w:pPr>
            <w:r/>
            <w:r>
              <w:rPr>
                <w:rFonts w:ascii="仿宋_GB2312" w:hAnsi="仿宋_GB2312" w:eastAsia="仿宋_GB2312"/>
                <w:b w:val="0"/>
                <w:color w:val="000000"/>
                <w:sz w:val="32"/>
              </w:rPr>
              <w:t>—</w:t>
            </w:r>
          </w:p>
        </w:tc>
      </w:tr>
    </w:tbl>
    <w:p>
      <w:pPr>
        <w:spacing w:lineRule="exact" w:line="600" w:before="0" w:after="0"/>
        <w:ind w:firstLine="420"/>
        <w:jc w:val="both"/>
      </w:pPr>
      <w:r>
        <w:rPr>
          <w:rFonts w:ascii="仿宋_GB2312" w:hAnsi="仿宋_GB2312" w:eastAsia="仿宋_GB2312"/>
          <w:b w:val="0"/>
          <w:color w:val="000000"/>
          <w:sz w:val="32"/>
        </w:rPr>
        <w:t>公司治理为典型民营中小企业模式，决策集中、机制灵活，但规范性弱于上市公司，授信前需关注家族控股下的财务透明度与个人资产边界。</w:t>
      </w:r>
    </w:p>
    <w:p>
      <w:pPr>
        <w:spacing w:lineRule="exact" w:line="600" w:before="120" w:after="120"/>
        <w:ind w:firstLine="420"/>
        <w:jc w:val="left"/>
      </w:pPr>
      <w:r>
        <w:rPr>
          <w:rFonts w:ascii="楷体_GB2312" w:hAnsi="楷体_GB2312" w:eastAsia="楷体_GB2312"/>
          <w:b w:val="0"/>
          <w:color w:val="000000"/>
          <w:sz w:val="32"/>
        </w:rPr>
        <w:t>（三）组织架构</w:t>
      </w:r>
    </w:p>
    <w:p>
      <w:pPr>
        <w:spacing w:lineRule="exact" w:line="600" w:before="0" w:after="0"/>
        <w:ind w:firstLine="420"/>
        <w:jc w:val="both"/>
      </w:pPr>
      <w:r>
        <w:rPr>
          <w:rFonts w:ascii="仿宋_GB2312" w:hAnsi="仿宋_GB2312" w:eastAsia="仿宋_GB2312"/>
          <w:b w:val="0"/>
          <w:color w:val="000000"/>
          <w:sz w:val="32"/>
        </w:rPr>
        <w:t>公司为单体民营企业，组织架构精简，由王伟担任执行董事兼经理，范玉然等为股东，设监事。业务聚焦于玻璃深加工，未公开显示对外投资控股子公司，以鲍沟镇基地为核心生产单元。</w:t>
      </w:r>
    </w:p>
    <w:p>
      <w:pPr>
        <w:spacing w:lineRule="exact" w:line="600" w:before="120" w:after="120"/>
        <w:ind w:firstLine="420"/>
        <w:jc w:val="left"/>
      </w:pPr>
      <w:r>
        <w:rPr>
          <w:rFonts w:ascii="楷体_GB2312" w:hAnsi="楷体_GB2312" w:eastAsia="楷体_GB2312"/>
          <w:b w:val="0"/>
          <w:color w:val="000000"/>
          <w:sz w:val="32"/>
        </w:rPr>
        <w:t>（四）发展沿革</w:t>
      </w:r>
    </w:p>
    <w:p>
      <w:pPr>
        <w:spacing w:lineRule="exact" w:line="600" w:before="0" w:after="0"/>
        <w:ind w:firstLine="420"/>
        <w:jc w:val="both"/>
      </w:pPr>
      <w:r>
        <w:rPr>
          <w:rFonts w:ascii="仿宋_GB2312" w:hAnsi="仿宋_GB2312" w:eastAsia="仿宋_GB2312"/>
          <w:b w:val="0"/>
          <w:color w:val="000000"/>
          <w:sz w:val="32"/>
        </w:rPr>
        <w:t>1999年4月，公司成立于滕州市鲍沟镇，起步于玻璃制品制造与铝合金型材业务。</w:t>
      </w:r>
    </w:p>
    <w:p>
      <w:pPr>
        <w:spacing w:lineRule="exact" w:line="600" w:before="0" w:after="0"/>
        <w:ind w:firstLine="420"/>
        <w:jc w:val="both"/>
      </w:pPr>
      <w:r>
        <w:rPr>
          <w:rFonts w:ascii="仿宋_GB2312" w:hAnsi="仿宋_GB2312" w:eastAsia="仿宋_GB2312"/>
          <w:b w:val="0"/>
          <w:color w:val="000000"/>
          <w:sz w:val="32"/>
        </w:rPr>
        <w:t>历经二十余年发展，公司由普通玻璃加工逐步升级为涵盖钢化、中空、Low-E、彩釉、防火、防弹等多品类的玻璃深加工企业，成为鲍沟镇玻璃新材料产业集群的重要支撑企业。</w:t>
      </w:r>
    </w:p>
    <w:p>
      <w:pPr>
        <w:spacing w:lineRule="exact" w:line="600" w:before="0" w:after="0"/>
        <w:ind w:firstLine="420"/>
        <w:jc w:val="both"/>
      </w:pPr>
      <w:r>
        <w:rPr>
          <w:rFonts w:ascii="仿宋_GB2312" w:hAnsi="仿宋_GB2312" w:eastAsia="仿宋_GB2312"/>
          <w:b w:val="0"/>
          <w:color w:val="000000"/>
          <w:sz w:val="32"/>
        </w:rPr>
        <w:t>2023年，公司获评国家高新技术企业，并先后被认定为专精特新中小企业、创新型中小企业、A级纳税人（2025年），技术与管理资质持续提升。</w:t>
      </w:r>
    </w:p>
    <w:p>
      <w:pPr>
        <w:spacing w:lineRule="exact" w:line="600" w:before="120" w:after="120"/>
        <w:ind w:firstLine="420"/>
        <w:jc w:val="left"/>
      </w:pPr>
      <w:r>
        <w:rPr>
          <w:rFonts w:ascii="楷体_GB2312" w:hAnsi="楷体_GB2312" w:eastAsia="楷体_GB2312"/>
          <w:b w:val="0"/>
          <w:color w:val="000000"/>
          <w:sz w:val="32"/>
        </w:rPr>
        <w:t>（五）企业定位与主营业务</w:t>
      </w:r>
    </w:p>
    <w:p>
      <w:pPr>
        <w:spacing w:lineRule="exact" w:line="600" w:before="0" w:after="0"/>
        <w:ind w:firstLine="420"/>
        <w:jc w:val="both"/>
      </w:pPr>
      <w:r>
        <w:rPr>
          <w:rFonts w:ascii="仿宋_GB2312" w:hAnsi="仿宋_GB2312" w:eastAsia="仿宋_GB2312"/>
          <w:b w:val="0"/>
          <w:color w:val="000000"/>
          <w:sz w:val="32"/>
        </w:rPr>
        <w:t>公司战略定位为滕州鲍沟玻璃新材料产业集群的节能与功能玻璃深加工骨干企业，专注于建筑与工程用节能、安全、装饰玻璃的研发、制造与销售。</w:t>
      </w:r>
    </w:p>
    <w:p>
      <w:pPr>
        <w:spacing w:lineRule="exact" w:line="600" w:before="0" w:after="0"/>
        <w:ind w:firstLine="420"/>
        <w:jc w:val="both"/>
      </w:pPr>
      <w:r>
        <w:rPr>
          <w:rFonts w:ascii="仿宋_GB2312" w:hAnsi="仿宋_GB2312" w:eastAsia="仿宋_GB2312"/>
          <w:b w:val="0"/>
          <w:color w:val="000000"/>
          <w:sz w:val="32"/>
        </w:rPr>
        <w:t>主营业务为玻璃制品（钢化玻璃、中空玻璃、Low-E玻璃、彩釉玻璃、夹层玻璃、防火玻璃、防弹防爆玻璃等）及铝合金型材的制造销售，并经营相关产品进出口业务。</w:t>
      </w:r>
    </w:p>
    <w:p>
      <w:pPr>
        <w:spacing w:lineRule="exact" w:line="600" w:before="120" w:after="120"/>
        <w:ind w:firstLine="420"/>
        <w:jc w:val="left"/>
      </w:pPr>
      <w:r>
        <w:rPr>
          <w:rFonts w:ascii="黑体" w:hAnsi="黑体" w:eastAsia="黑体"/>
          <w:b w:val="0"/>
          <w:color w:val="000000"/>
          <w:sz w:val="32"/>
        </w:rPr>
        <w:t>二、业务层面分析（核心）</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公司业务以玻璃深加工产品为主，涵盖平弯钢化玻璃、中空玻璃、夹层玻璃、镀膜玻璃、Low-E玻璃、彩釉玻璃、防火玻璃、防弹玻璃、小半径弯钢、超大超厚钢化玻璃等。因公司为非上市企业，分产品收入占比未公开披露。</w:t>
      </w:r>
    </w:p>
    <w:p>
      <w:pPr>
        <w:spacing w:lineRule="exact" w:line="600" w:before="0" w:after="0"/>
        <w:ind w:firstLine="420"/>
        <w:jc w:val="both"/>
      </w:pPr>
      <w:r>
        <w:rPr>
          <w:rFonts w:ascii="仿宋_GB2312" w:hAnsi="仿宋_GB2312" w:eastAsia="仿宋_GB2312"/>
          <w:b w:val="0"/>
          <w:color w:val="000000"/>
          <w:sz w:val="32"/>
        </w:rPr>
        <w:t>从产品定位看，节能与安全玻璃（Low-E中空、防火、防弹）为面向工程与公建的高附加值方向，普通钢化与彩釉玻璃为规模化基础产品。</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第一，平弯钢化玻璃与超大超厚钢化玻璃。公司具备超大超厚平弯钢化能力，用于幕墙、门窗、高端建筑，是工程客户的核心需求。</w:t>
      </w:r>
    </w:p>
    <w:p>
      <w:pPr>
        <w:spacing w:lineRule="exact" w:line="600" w:before="0" w:after="0"/>
        <w:ind w:firstLine="420"/>
        <w:jc w:val="both"/>
      </w:pPr>
      <w:r>
        <w:rPr>
          <w:rFonts w:ascii="仿宋_GB2312" w:hAnsi="仿宋_GB2312" w:eastAsia="仿宋_GB2312"/>
          <w:b w:val="0"/>
          <w:color w:val="000000"/>
          <w:sz w:val="32"/>
        </w:rPr>
        <w:t>第二，LOW-E节能中空玻璃。面向绿色建筑与被动房，节能性能突出，是公司绿色建材方向的主打产品。</w:t>
      </w:r>
    </w:p>
    <w:p>
      <w:pPr>
        <w:spacing w:lineRule="exact" w:line="600" w:before="0" w:after="0"/>
        <w:ind w:firstLine="420"/>
        <w:jc w:val="both"/>
      </w:pPr>
      <w:r>
        <w:rPr>
          <w:rFonts w:ascii="仿宋_GB2312" w:hAnsi="仿宋_GB2312" w:eastAsia="仿宋_GB2312"/>
          <w:b w:val="0"/>
          <w:color w:val="000000"/>
          <w:sz w:val="32"/>
        </w:rPr>
        <w:t>第三，彩釉玻璃。应用于建筑装饰、家电面板等，公司官网展示彩釉生产线，产品用于北辰时代大厦、滨江国际酒店、东莞广发大厦、滕州高铁站等工程案例。</w:t>
      </w:r>
    </w:p>
    <w:p>
      <w:pPr>
        <w:spacing w:lineRule="exact" w:line="600" w:before="0" w:after="0"/>
        <w:ind w:firstLine="420"/>
        <w:jc w:val="both"/>
      </w:pPr>
      <w:r>
        <w:rPr>
          <w:rFonts w:ascii="仿宋_GB2312" w:hAnsi="仿宋_GB2312" w:eastAsia="仿宋_GB2312"/>
          <w:b w:val="0"/>
          <w:color w:val="000000"/>
          <w:sz w:val="32"/>
        </w:rPr>
        <w:t>第四，夹层、防火、防弹防爆玻璃。面向安全要求高的公建、金融、安防场景，技术门槛与单价相对较高。</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公司下游客户主要为建筑工程公司、幕墙工程商、地产与公建项目、门窗加工厂及贸易商，工程案例覆盖北辰时代大厦、滨江国际酒店、济宁医学院、临沂大厦、滕州高铁站等，客户以工程与区域经销商为主，集中度适中。</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公司上游为原料平板玻璃（原片）、铝材、辅材等，依赖福耀、信义、旗滨等原片供应商及本地玻璃产业配套。鲍沟镇作为玻璃产业集聚区，原片与配套供应便利、物流成本低。</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产能方面，公司拥有钢化生产线、彩釉生产线、中空线、清洗机（李赛克）、保特罗切割机、水刀、快速双边粗磨机等深加工设备，具备多品类玻璃深加工能力。</w:t>
      </w:r>
    </w:p>
    <w:p>
      <w:pPr>
        <w:spacing w:lineRule="exact" w:line="600" w:before="0" w:after="0"/>
        <w:ind w:firstLine="420"/>
        <w:jc w:val="both"/>
      </w:pPr>
      <w:r>
        <w:rPr>
          <w:rFonts w:ascii="仿宋_GB2312" w:hAnsi="仿宋_GB2312" w:eastAsia="仿宋_GB2312"/>
          <w:b w:val="0"/>
          <w:color w:val="000000"/>
          <w:sz w:val="32"/>
        </w:rPr>
        <w:t>资源方面，公司核心资源为鲍沟镇玻璃产业集聚区的区位配套、二十余年工程客户积累与品牌口碑。</w:t>
      </w:r>
    </w:p>
    <w:p>
      <w:pPr>
        <w:spacing w:lineRule="exact" w:line="600" w:before="0" w:after="0"/>
        <w:ind w:firstLine="420"/>
        <w:jc w:val="both"/>
      </w:pPr>
      <w:r>
        <w:rPr>
          <w:rFonts w:ascii="仿宋_GB2312" w:hAnsi="仿宋_GB2312" w:eastAsia="仿宋_GB2312"/>
          <w:b w:val="0"/>
          <w:color w:val="000000"/>
          <w:sz w:val="32"/>
        </w:rPr>
        <w:t>牌照资质方面，公司为国家高新技术企业（2023）、专精特新中小企业、创新型中小企业、A级纳税人，持有道路运输经营许可证、货物进出口资质，资质体系支撑其工程与出口业务。</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公司采用"工程直供＋经销商＋出口"模式，官网展示工程案例与客户网络，拥有进出口资质，产品可服务海外。销售政策以工程订单驱动，注重项目交付与品质。</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经营规模方面，公司人员规模50—99人（参保人数53人），注册资本2000万元，属小型企业。公司在鲍沟镇玻璃新材料产业集群中为支撑企业，工程案例丰富、区域品牌认可度较高。</w:t>
      </w:r>
    </w:p>
    <w:p>
      <w:pPr>
        <w:spacing w:lineRule="exact" w:line="600" w:before="0" w:after="0"/>
        <w:ind w:firstLine="420"/>
        <w:jc w:val="both"/>
      </w:pPr>
      <w:r>
        <w:rPr>
          <w:rFonts w:ascii="仿宋_GB2312" w:hAnsi="仿宋_GB2312" w:eastAsia="仿宋_GB2312"/>
          <w:b w:val="0"/>
          <w:color w:val="000000"/>
          <w:sz w:val="32"/>
        </w:rPr>
        <w:t>市场地位方面，公司是滕州玻璃新材料产业集群的重要深加工骨干，但在全国玻璃深加工行业中规模偏小、属区域性企业，市场份额有限。</w:t>
      </w:r>
    </w:p>
    <w:p>
      <w:pPr>
        <w:spacing w:lineRule="exact" w:line="600" w:before="0" w:after="0"/>
        <w:ind w:firstLine="420"/>
        <w:jc w:val="both"/>
      </w:pPr>
      <w:r>
        <w:rPr>
          <w:rFonts w:ascii="仿宋_GB2312" w:hAnsi="仿宋_GB2312" w:eastAsia="仿宋_GB2312"/>
          <w:b w:val="0"/>
          <w:color w:val="000000"/>
          <w:sz w:val="32"/>
        </w:rPr>
        <w:t>需说明：公司为非上市民营企业，单体经审计财务数据未公开披露，本节产值、人员等数据来自公开工商与官网口径，不作精确量化推定。</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（一）数据可获取性说明</w:t>
      </w:r>
    </w:p>
    <w:p>
      <w:pPr>
        <w:spacing w:lineRule="exact" w:line="600" w:before="0" w:after="0"/>
        <w:ind w:firstLine="420"/>
        <w:jc w:val="both"/>
      </w:pPr>
      <w:r>
        <w:rPr>
          <w:rFonts w:ascii="仿宋_GB2312" w:hAnsi="仿宋_GB2312" w:eastAsia="仿宋_GB2312"/>
          <w:b w:val="0"/>
          <w:color w:val="000000"/>
          <w:sz w:val="32"/>
        </w:rPr>
        <w:t>滕州市丰华玻璃有限公司为非上市民营企业，其单体经审计财务报表未向社会公开披露，亦无合并上市公司可参照。据此，本报告无法提供经审计的资产负债表、利润表、现金流量表等具体科目数据，不对未披露财务指标作推定或估算，特此说明。</w:t>
      </w:r>
    </w:p>
    <w:p>
      <w:pPr>
        <w:spacing w:lineRule="exact" w:line="600" w:before="120" w:after="120"/>
        <w:ind w:firstLine="420"/>
        <w:jc w:val="left"/>
      </w:pPr>
      <w:r>
        <w:rPr>
          <w:rFonts w:ascii="楷体_GB2312" w:hAnsi="楷体_GB2312" w:eastAsia="楷体_GB2312"/>
          <w:b w:val="0"/>
          <w:color w:val="000000"/>
          <w:sz w:val="32"/>
        </w:rPr>
        <w:t>（二）可公开印证的经营规模</w:t>
      </w:r>
    </w:p>
    <w:p>
      <w:pPr>
        <w:spacing w:lineRule="exact" w:line="600" w:before="0" w:after="0"/>
        <w:ind w:firstLine="420"/>
        <w:jc w:val="both"/>
      </w:pPr>
      <w:r>
        <w:rPr>
          <w:rFonts w:ascii="仿宋_GB2312" w:hAnsi="仿宋_GB2312" w:eastAsia="仿宋_GB2312"/>
          <w:b w:val="0"/>
          <w:color w:val="000000"/>
          <w:sz w:val="32"/>
        </w:rPr>
        <w:t>基于公开工商与官网信息，可确认以下非审计经营规模：注册资本2000万元、人员规模50—99人（参保53人）、小型企业、国家高新技术企业（2023）、专精特新与创新型中小企业、A级纳税人。上述数据为工商与资质口径，不代表经审计财务数据。</w:t>
      </w:r>
    </w:p>
    <w:p>
      <w:pPr>
        <w:spacing w:lineRule="exact" w:line="600" w:before="120" w:after="120"/>
        <w:ind w:firstLine="420"/>
        <w:jc w:val="left"/>
      </w:pPr>
      <w:r>
        <w:rPr>
          <w:rFonts w:ascii="楷体_GB2312" w:hAnsi="楷体_GB2312" w:eastAsia="楷体_GB2312"/>
          <w:b w:val="0"/>
          <w:color w:val="000000"/>
          <w:sz w:val="32"/>
        </w:rPr>
        <w:t>（三）财务特征研判</w:t>
      </w:r>
    </w:p>
    <w:p>
      <w:pPr>
        <w:spacing w:lineRule="exact" w:line="600" w:before="0" w:after="0"/>
        <w:ind w:firstLine="420"/>
        <w:jc w:val="both"/>
      </w:pPr>
      <w:r>
        <w:rPr>
          <w:rFonts w:ascii="仿宋_GB2312" w:hAnsi="仿宋_GB2312" w:eastAsia="仿宋_GB2312"/>
          <w:b w:val="0"/>
          <w:color w:val="000000"/>
          <w:sz w:val="32"/>
        </w:rPr>
        <w:t>结合行业属性，可研判（非精确数据）：玻璃深加工属轻—中型制造业，固定资产主要为深加工设备，资本开支强度适中；工程业务通常有一定应收账款与账期，现金流受项目回款节奏影响；作为A级纳税人与高新技术企业，纳税与合规状况良好。真实盈利与负债状况需在取得经审计财务报表后核实。</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公司为自然人控股民营企业，治理结构为执行董事（王伟）兼经理负责制，决策集中、效率高，但规范性弱于上市公司，缺乏独立董事等制衡机制。</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法定代表人、执行董事兼经理为王伟，为公司实际控制人，负责经营决策；设监事履行监督职责。管理团队稳定，深耕玻璃深加工领域。</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公司作为高新技术企业，需执行研发投入核算与质量管理体系；持有道路运输许可、安全生产等合规要求。建议授信前核查其安全生产与环保合规状况。</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公司员工50—99人（参保53人），在玻璃深加工企业中规模适中，技术工人与工程服务人员为主。作为高新技术企业，具备一定技术研发人力基础。</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一是区域产业集群配套。地处鲍沟镇玻璃新材料产业集群，原片与配套供应便利、物流成本低、产业协同强。</w:t>
      </w:r>
    </w:p>
    <w:p>
      <w:pPr>
        <w:spacing w:lineRule="exact" w:line="600" w:before="0" w:after="0"/>
        <w:ind w:firstLine="420"/>
        <w:jc w:val="both"/>
      </w:pPr>
      <w:r>
        <w:rPr>
          <w:rFonts w:ascii="仿宋_GB2312" w:hAnsi="仿宋_GB2312" w:eastAsia="仿宋_GB2312"/>
          <w:b w:val="0"/>
          <w:color w:val="000000"/>
          <w:sz w:val="32"/>
        </w:rPr>
        <w:t>二是多品类深加工能力。具备钢化、中空、Low-E、彩釉、防火、防弹等多品类加工能力，可满足工程客户一站式采购。</w:t>
      </w:r>
    </w:p>
    <w:p>
      <w:pPr>
        <w:spacing w:lineRule="exact" w:line="600" w:before="0" w:after="0"/>
        <w:ind w:firstLine="420"/>
        <w:jc w:val="both"/>
      </w:pPr>
      <w:r>
        <w:rPr>
          <w:rFonts w:ascii="仿宋_GB2312" w:hAnsi="仿宋_GB2312" w:eastAsia="仿宋_GB2312"/>
          <w:b w:val="0"/>
          <w:color w:val="000000"/>
          <w:sz w:val="32"/>
        </w:rPr>
        <w:t>三是资质与品牌。国家高新技术企业、专精特新、创新型中小企业、A级纳税人等资质，叠加北辰时代大厦等标杆工程案例，形成区域品牌认可。</w:t>
      </w:r>
    </w:p>
    <w:p>
      <w:pPr>
        <w:spacing w:lineRule="exact" w:line="600" w:before="0" w:after="0"/>
        <w:ind w:firstLine="420"/>
        <w:jc w:val="both"/>
      </w:pPr>
      <w:r>
        <w:rPr>
          <w:rFonts w:ascii="仿宋_GB2312" w:hAnsi="仿宋_GB2312" w:eastAsia="仿宋_GB2312"/>
          <w:b w:val="0"/>
          <w:color w:val="000000"/>
          <w:sz w:val="32"/>
        </w:rPr>
        <w:t>四是机制灵活。民营控股、决策集中，可快速响应工程客户定制化需求。</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120" w:after="120"/>
        <w:ind w:firstLine="420"/>
        <w:jc w:val="left"/>
      </w:pPr>
      <w:r>
        <w:rPr>
          <w:rFonts w:ascii="楷体_GB2312" w:hAnsi="楷体_GB2312" w:eastAsia="楷体_GB2312"/>
          <w:b w:val="0"/>
          <w:color w:val="000000"/>
          <w:sz w:val="32"/>
        </w:rPr>
        <w:t>（一）行业风险</w:t>
      </w:r>
    </w:p>
    <w:p>
      <w:pPr>
        <w:spacing w:lineRule="exact" w:line="600" w:before="0" w:after="0"/>
        <w:ind w:firstLine="420"/>
        <w:jc w:val="both"/>
      </w:pPr>
      <w:r>
        <w:rPr>
          <w:rFonts w:ascii="仿宋_GB2312" w:hAnsi="仿宋_GB2312" w:eastAsia="仿宋_GB2312"/>
          <w:b w:val="0"/>
          <w:color w:val="000000"/>
          <w:sz w:val="32"/>
        </w:rPr>
        <w:t>第一，房地产与基建下行风险。公司产品主要用于建筑与工程，受房地产调整、基建投资节奏影响明显。</w:t>
      </w:r>
    </w:p>
    <w:p>
      <w:pPr>
        <w:spacing w:lineRule="exact" w:line="600" w:before="0" w:after="0"/>
        <w:ind w:firstLine="420"/>
        <w:jc w:val="both"/>
      </w:pPr>
      <w:r>
        <w:rPr>
          <w:rFonts w:ascii="仿宋_GB2312" w:hAnsi="仿宋_GB2312" w:eastAsia="仿宋_GB2312"/>
          <w:b w:val="0"/>
          <w:color w:val="000000"/>
          <w:sz w:val="32"/>
        </w:rPr>
        <w:t>第二，原片价格波动风险。平板玻璃原片价格随行业周期波动，影响深加工毛利。</w:t>
      </w:r>
    </w:p>
    <w:p>
      <w:pPr>
        <w:spacing w:lineRule="exact" w:line="600" w:before="120" w:after="120"/>
        <w:ind w:firstLine="420"/>
        <w:jc w:val="left"/>
      </w:pPr>
      <w:r>
        <w:rPr>
          <w:rFonts w:ascii="楷体_GB2312" w:hAnsi="楷体_GB2312" w:eastAsia="楷体_GB2312"/>
          <w:b w:val="0"/>
          <w:color w:val="000000"/>
          <w:sz w:val="32"/>
        </w:rPr>
        <w:t>（二）经营风险</w:t>
      </w:r>
    </w:p>
    <w:p>
      <w:pPr>
        <w:spacing w:lineRule="exact" w:line="600" w:before="0" w:after="0"/>
        <w:ind w:firstLine="420"/>
        <w:jc w:val="both"/>
      </w:pPr>
      <w:r>
        <w:rPr>
          <w:rFonts w:ascii="仿宋_GB2312" w:hAnsi="仿宋_GB2312" w:eastAsia="仿宋_GB2312"/>
          <w:b w:val="0"/>
          <w:color w:val="000000"/>
          <w:sz w:val="32"/>
        </w:rPr>
        <w:t>第一，工程回款风险。工程业务通常账期较长，若下游客户资金链紧张，应收账款坏账风险上升。公开渠道显示公司存在少量买卖合同纠纷（如分期付款买卖合同纠纷），需关注。</w:t>
      </w:r>
    </w:p>
    <w:p>
      <w:pPr>
        <w:spacing w:lineRule="exact" w:line="600" w:before="0" w:after="0"/>
        <w:ind w:firstLine="420"/>
        <w:jc w:val="both"/>
      </w:pPr>
      <w:r>
        <w:rPr>
          <w:rFonts w:ascii="仿宋_GB2312" w:hAnsi="仿宋_GB2312" w:eastAsia="仿宋_GB2312"/>
          <w:b w:val="0"/>
          <w:color w:val="000000"/>
          <w:sz w:val="32"/>
        </w:rPr>
        <w:t>第二，规模与抗风险能力偏弱。公司为小型企业，抗周期与抗单一大客户流失能力有限。</w:t>
      </w:r>
    </w:p>
    <w:p>
      <w:pPr>
        <w:spacing w:lineRule="exact" w:line="600" w:before="120" w:after="120"/>
        <w:ind w:firstLine="420"/>
        <w:jc w:val="left"/>
      </w:pPr>
      <w:r>
        <w:rPr>
          <w:rFonts w:ascii="楷体_GB2312" w:hAnsi="楷体_GB2312" w:eastAsia="楷体_GB2312"/>
          <w:b w:val="0"/>
          <w:color w:val="000000"/>
          <w:sz w:val="32"/>
        </w:rPr>
        <w:t>（三）财务风险</w:t>
      </w:r>
    </w:p>
    <w:p>
      <w:pPr>
        <w:spacing w:lineRule="exact" w:line="600" w:before="0" w:after="0"/>
        <w:ind w:firstLine="420"/>
        <w:jc w:val="both"/>
      </w:pPr>
      <w:r>
        <w:rPr>
          <w:rFonts w:ascii="仿宋_GB2312" w:hAnsi="仿宋_GB2312" w:eastAsia="仿宋_GB2312"/>
          <w:b w:val="0"/>
          <w:color w:val="000000"/>
          <w:sz w:val="32"/>
        </w:rPr>
        <w:t>财务透明度不足风险。单体财务未公开披露，外部授信需专项尽调获取真实资产负债率与现金流。</w:t>
      </w:r>
    </w:p>
    <w:p>
      <w:pPr>
        <w:spacing w:lineRule="exact" w:line="600" w:before="120" w:after="120"/>
        <w:ind w:firstLine="420"/>
        <w:jc w:val="left"/>
      </w:pPr>
      <w:r>
        <w:rPr>
          <w:rFonts w:ascii="楷体_GB2312" w:hAnsi="楷体_GB2312" w:eastAsia="楷体_GB2312"/>
          <w:b w:val="0"/>
          <w:color w:val="000000"/>
          <w:sz w:val="32"/>
        </w:rPr>
        <w:t>（四）合规与法律风险</w:t>
      </w:r>
    </w:p>
    <w:p>
      <w:pPr>
        <w:spacing w:lineRule="exact" w:line="600" w:before="0" w:after="0"/>
        <w:ind w:firstLine="420"/>
        <w:jc w:val="both"/>
      </w:pPr>
      <w:r>
        <w:rPr>
          <w:rFonts w:ascii="仿宋_GB2312" w:hAnsi="仿宋_GB2312" w:eastAsia="仿宋_GB2312"/>
          <w:b w:val="0"/>
          <w:color w:val="000000"/>
          <w:sz w:val="32"/>
        </w:rPr>
        <w:t>司法涉诉风险：公开口径显示公司存在少量买卖合同纠纷等案件，授信前建议逐案核查案由、标的与执行情况。安全生产与环保合规亦为玻璃加工企业常规风险点。</w:t>
      </w:r>
    </w:p>
    <w:p>
      <w:pPr>
        <w:spacing w:lineRule="exact" w:line="600" w:before="120" w:after="120"/>
        <w:ind w:firstLine="420"/>
        <w:jc w:val="left"/>
      </w:pPr>
      <w:r>
        <w:rPr>
          <w:rFonts w:ascii="楷体_GB2312" w:hAnsi="楷体_GB2312" w:eastAsia="楷体_GB2312"/>
          <w:b w:val="0"/>
          <w:color w:val="000000"/>
          <w:sz w:val="32"/>
        </w:rPr>
        <w:t>（五）管理风险</w:t>
      </w:r>
    </w:p>
    <w:p>
      <w:pPr>
        <w:spacing w:lineRule="exact" w:line="600" w:before="0" w:after="0"/>
        <w:ind w:firstLine="420"/>
        <w:jc w:val="both"/>
      </w:pPr>
      <w:r>
        <w:rPr>
          <w:rFonts w:ascii="仿宋_GB2312" w:hAnsi="仿宋_GB2312" w:eastAsia="仿宋_GB2312"/>
          <w:b w:val="0"/>
          <w:color w:val="000000"/>
          <w:sz w:val="32"/>
        </w:rPr>
        <w:t>家族/自然人控股，决策集中，存在个人意志主导与代际传承安排不确定等常规风险。</w:t>
      </w:r>
    </w:p>
    <w:p>
      <w:pPr>
        <w:spacing w:lineRule="exact" w:line="600" w:before="120" w:after="120"/>
        <w:ind w:firstLine="420"/>
        <w:jc w:val="left"/>
      </w:pPr>
      <w:r>
        <w:rPr>
          <w:rFonts w:ascii="楷体_GB2312" w:hAnsi="楷体_GB2312" w:eastAsia="楷体_GB2312"/>
          <w:b w:val="0"/>
          <w:color w:val="000000"/>
          <w:sz w:val="32"/>
        </w:rPr>
        <w:t>（六）现有应对措施</w:t>
      </w:r>
    </w:p>
    <w:p>
      <w:pPr>
        <w:spacing w:lineRule="exact" w:line="600" w:before="0" w:after="0"/>
        <w:ind w:firstLine="420"/>
        <w:jc w:val="both"/>
      </w:pPr>
      <w:r>
        <w:rPr>
          <w:rFonts w:ascii="仿宋_GB2312" w:hAnsi="仿宋_GB2312" w:eastAsia="仿宋_GB2312"/>
          <w:b w:val="0"/>
          <w:color w:val="000000"/>
          <w:sz w:val="32"/>
        </w:rPr>
        <w:t>公司应对措施包括：一是向Low-E节能、防火、防弹等高附加值品类升级；二是依托产业集群降低配套成本；三是获评高新技术与专精特新提升竞争力；四是稳健经营、维持A级纳税信用。</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120" w:after="120"/>
        <w:ind w:firstLine="420"/>
        <w:jc w:val="left"/>
      </w:pPr>
      <w:r>
        <w:rPr>
          <w:rFonts w:ascii="楷体_GB2312" w:hAnsi="楷体_GB2312" w:eastAsia="楷体_GB2312"/>
          <w:b w:val="0"/>
          <w:color w:val="000000"/>
          <w:sz w:val="32"/>
        </w:rPr>
        <w:t>（一）融资需求总体判断</w:t>
      </w:r>
    </w:p>
    <w:p>
      <w:pPr>
        <w:spacing w:lineRule="exact" w:line="600" w:before="0" w:after="0"/>
        <w:ind w:firstLine="420"/>
        <w:jc w:val="both"/>
      </w:pPr>
      <w:r>
        <w:rPr>
          <w:rFonts w:ascii="仿宋_GB2312" w:hAnsi="仿宋_GB2312" w:eastAsia="仿宋_GB2312"/>
          <w:b w:val="0"/>
          <w:color w:val="000000"/>
          <w:sz w:val="32"/>
        </w:rPr>
        <w:t>公司为区域性玻璃深加工中小企业，资产以轻—中型设备与应收账款为主，扩张节奏平稳，融资需求以设备升级、原材料采购周转与工程垫资为主，规模适中。山东投资可围绕供应链金融与设备融资租赁切入。</w:t>
      </w:r>
    </w:p>
    <w:p>
      <w:pPr>
        <w:spacing w:lineRule="exact" w:line="600" w:before="120" w:after="120"/>
        <w:ind w:firstLine="420"/>
        <w:jc w:val="left"/>
      </w:pPr>
      <w:r>
        <w:rPr>
          <w:rFonts w:ascii="楷体_GB2312" w:hAnsi="楷体_GB2312" w:eastAsia="楷体_GB2312"/>
          <w:b w:val="0"/>
          <w:color w:val="000000"/>
          <w:sz w:val="32"/>
        </w:rPr>
        <w:t>（二）保理业务</w:t>
      </w:r>
    </w:p>
    <w:p>
      <w:pPr>
        <w:spacing w:lineRule="exact" w:line="600" w:before="0" w:after="0"/>
        <w:ind w:firstLine="420"/>
        <w:jc w:val="both"/>
      </w:pPr>
      <w:r>
        <w:rPr>
          <w:rFonts w:ascii="仿宋_GB2312" w:hAnsi="仿宋_GB2312" w:eastAsia="仿宋_GB2312"/>
          <w:b w:val="0"/>
          <w:color w:val="000000"/>
          <w:sz w:val="32"/>
        </w:rPr>
        <w:t>公司工程业务形成一定应收账款，适合开展国内保理，以工程应收账款为标的盘活流动性；出口业务可联合中国信保开展出口保理。</w:t>
      </w:r>
    </w:p>
    <w:p>
      <w:pPr>
        <w:spacing w:lineRule="exact" w:line="600" w:before="120" w:after="120"/>
        <w:ind w:firstLine="420"/>
        <w:jc w:val="left"/>
      </w:pPr>
      <w:r>
        <w:rPr>
          <w:rFonts w:ascii="楷体_GB2312" w:hAnsi="楷体_GB2312" w:eastAsia="楷体_GB2312"/>
          <w:b w:val="0"/>
          <w:color w:val="000000"/>
          <w:sz w:val="32"/>
        </w:rPr>
        <w:t>（三）供应链金融</w:t>
      </w:r>
    </w:p>
    <w:p>
      <w:pPr>
        <w:spacing w:lineRule="exact" w:line="600" w:before="0" w:after="0"/>
        <w:ind w:firstLine="420"/>
        <w:jc w:val="both"/>
      </w:pPr>
      <w:r>
        <w:rPr>
          <w:rFonts w:ascii="仿宋_GB2312" w:hAnsi="仿宋_GB2312" w:eastAsia="仿宋_GB2312"/>
          <w:b w:val="0"/>
          <w:color w:val="000000"/>
          <w:sz w:val="32"/>
        </w:rPr>
        <w:t>向上游，可依托鲍沟镇原片供应商开展采购端融资与应收账款确权；以丰华玻璃为核心企业，为其下游工程客户与经销商提供基于真实交易的采购融资，协同价值较高。</w:t>
      </w:r>
    </w:p>
    <w:p>
      <w:pPr>
        <w:spacing w:lineRule="exact" w:line="600" w:before="120" w:after="120"/>
        <w:ind w:firstLine="420"/>
        <w:jc w:val="left"/>
      </w:pPr>
      <w:r>
        <w:rPr>
          <w:rFonts w:ascii="楷体_GB2312" w:hAnsi="楷体_GB2312" w:eastAsia="楷体_GB2312"/>
          <w:b w:val="0"/>
          <w:color w:val="000000"/>
          <w:sz w:val="32"/>
        </w:rPr>
        <w:t>（四）融资租赁</w:t>
      </w:r>
    </w:p>
    <w:p>
      <w:pPr>
        <w:spacing w:lineRule="exact" w:line="600" w:before="0" w:after="0"/>
        <w:ind w:firstLine="420"/>
        <w:jc w:val="both"/>
      </w:pPr>
      <w:r>
        <w:rPr>
          <w:rFonts w:ascii="仿宋_GB2312" w:hAnsi="仿宋_GB2312" w:eastAsia="仿宋_GB2312"/>
          <w:b w:val="0"/>
          <w:color w:val="000000"/>
          <w:sz w:val="32"/>
        </w:rPr>
        <w:t>公司钢化、彩釉、中空等深加工设备单值适中，可通过直接租赁更新设备、提升产能；存量设备可通过售后回租补充流动资金。承租人为高新技术企业、A级纳税人，信用状况较好。</w:t>
      </w:r>
    </w:p>
    <w:p>
      <w:pPr>
        <w:spacing w:lineRule="exact" w:line="600" w:before="120" w:after="120"/>
        <w:ind w:firstLine="420"/>
        <w:jc w:val="left"/>
      </w:pPr>
      <w:r>
        <w:rPr>
          <w:rFonts w:ascii="楷体_GB2312" w:hAnsi="楷体_GB2312" w:eastAsia="楷体_GB2312"/>
          <w:b w:val="0"/>
          <w:color w:val="000000"/>
          <w:sz w:val="32"/>
        </w:rPr>
        <w:t>（五）小额贷款</w:t>
      </w:r>
    </w:p>
    <w:p>
      <w:pPr>
        <w:spacing w:lineRule="exact" w:line="600" w:before="0" w:after="0"/>
        <w:ind w:firstLine="420"/>
        <w:jc w:val="both"/>
      </w:pPr>
      <w:r>
        <w:rPr>
          <w:rFonts w:ascii="仿宋_GB2312" w:hAnsi="仿宋_GB2312" w:eastAsia="仿宋_GB2312"/>
          <w:b w:val="0"/>
          <w:color w:val="000000"/>
          <w:sz w:val="32"/>
        </w:rPr>
        <w:t>小额贷款适配性高：可用于原材料采购备货（单户50万—300万元）、工程垫资周转，契合其中小企业特征。</w:t>
      </w:r>
    </w:p>
    <w:p>
      <w:pPr>
        <w:spacing w:lineRule="exact" w:line="600" w:before="120" w:after="120"/>
        <w:ind w:firstLine="420"/>
        <w:jc w:val="left"/>
      </w:pPr>
      <w:r>
        <w:rPr>
          <w:rFonts w:ascii="楷体_GB2312" w:hAnsi="楷体_GB2312" w:eastAsia="楷体_GB2312"/>
          <w:b w:val="0"/>
          <w:color w:val="000000"/>
          <w:sz w:val="32"/>
        </w:rPr>
        <w:t>（六）综合建议与风控要点</w:t>
      </w:r>
    </w:p>
    <w:p>
      <w:pPr>
        <w:spacing w:lineRule="exact" w:line="600" w:before="0" w:after="0"/>
        <w:ind w:firstLine="420"/>
        <w:jc w:val="both"/>
      </w:pPr>
      <w:r>
        <w:rPr>
          <w:rFonts w:ascii="仿宋_GB2312" w:hAnsi="仿宋_GB2312" w:eastAsia="仿宋_GB2312"/>
          <w:b w:val="0"/>
          <w:color w:val="000000"/>
          <w:sz w:val="32"/>
        </w:rPr>
        <w:t>业务优先级：第一，供应链金融（上下游链式融资）；第二，小贷（采购与工程垫资）；第三，融资租赁（设备更新与回租）；第四，保理（工程应收）。</w:t>
      </w:r>
    </w:p>
    <w:p>
      <w:pPr>
        <w:spacing w:lineRule="exact" w:line="600" w:before="0" w:after="0"/>
        <w:ind w:firstLine="420"/>
        <w:jc w:val="both"/>
      </w:pPr>
      <w:r>
        <w:rPr>
          <w:rFonts w:ascii="仿宋_GB2312" w:hAnsi="仿宋_GB2312" w:eastAsia="仿宋_GB2312"/>
          <w:b w:val="0"/>
          <w:color w:val="000000"/>
          <w:sz w:val="32"/>
        </w:rPr>
        <w:t>风控要点：一是取得经审计或真实财务报表，核实资产负债与现金流；二是重点核查工程应收账款账龄与下游客户信用；三是关注房地产下行对订单的影响；四是核查诉讼、安全环保合规；五是落实民营小微企业用信的实控人连带担保。</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120" w:after="120"/>
        <w:ind w:firstLine="420"/>
        <w:jc w:val="left"/>
      </w:pPr>
      <w:r>
        <w:rPr>
          <w:rFonts w:ascii="楷体_GB2312" w:hAnsi="楷体_GB2312" w:eastAsia="楷体_GB2312"/>
          <w:b w:val="0"/>
          <w:color w:val="000000"/>
          <w:sz w:val="32"/>
        </w:rPr>
        <w:t>（一）综合评价</w:t>
      </w:r>
    </w:p>
    <w:p>
      <w:pPr>
        <w:spacing w:lineRule="exact" w:line="600" w:before="0" w:after="0"/>
        <w:ind w:firstLine="420"/>
        <w:jc w:val="both"/>
      </w:pPr>
      <w:r>
        <w:rPr>
          <w:rFonts w:ascii="仿宋_GB2312" w:hAnsi="仿宋_GB2312" w:eastAsia="仿宋_GB2312"/>
          <w:b w:val="0"/>
          <w:color w:val="000000"/>
          <w:sz w:val="32"/>
        </w:rPr>
        <w:t>滕州市丰华玻璃有限公司是滕州鲍沟玻璃新材料产业集群的支撑型玻璃深加工企业，深耕行业二十余年，具备多品类深加工能力与区域品牌口碑，为国家高新技术企业、专精特新与创新型中小企业、A级纳税人。</w:t>
      </w:r>
    </w:p>
    <w:p>
      <w:pPr>
        <w:spacing w:lineRule="exact" w:line="600" w:before="0" w:after="0"/>
        <w:ind w:firstLine="420"/>
        <w:jc w:val="both"/>
      </w:pPr>
      <w:r>
        <w:rPr>
          <w:rFonts w:ascii="仿宋_GB2312" w:hAnsi="仿宋_GB2312" w:eastAsia="仿宋_GB2312"/>
          <w:b w:val="0"/>
          <w:color w:val="000000"/>
          <w:sz w:val="32"/>
        </w:rPr>
        <w:t>公司核心优势为"产业集群配套+多品类加工+资质品牌+机制灵活"；主要短板是规模偏小、受房地产周期影响大、财务透明度不足、工程回款风险。</w:t>
      </w:r>
    </w:p>
    <w:p>
      <w:pPr>
        <w:spacing w:lineRule="exact" w:line="600" w:before="120" w:after="120"/>
        <w:ind w:firstLine="420"/>
        <w:jc w:val="left"/>
      </w:pPr>
      <w:r>
        <w:rPr>
          <w:rFonts w:ascii="楷体_GB2312" w:hAnsi="楷体_GB2312" w:eastAsia="楷体_GB2312"/>
          <w:b w:val="0"/>
          <w:color w:val="000000"/>
          <w:sz w:val="32"/>
        </w:rPr>
        <w:t>（二）发展展望</w:t>
      </w:r>
    </w:p>
    <w:p>
      <w:pPr>
        <w:spacing w:lineRule="exact" w:line="600" w:before="0" w:after="0"/>
        <w:ind w:firstLine="420"/>
        <w:jc w:val="both"/>
      </w:pPr>
      <w:r>
        <w:rPr>
          <w:rFonts w:ascii="仿宋_GB2312" w:hAnsi="仿宋_GB2312" w:eastAsia="仿宋_GB2312"/>
          <w:b w:val="0"/>
          <w:color w:val="000000"/>
          <w:sz w:val="32"/>
        </w:rPr>
        <w:t>发展主线：一是向Low-E节能、防火、防弹等高附加值安全节能玻璃升级，契合绿色建筑趋势；二是依托产业集群与进出口资质拓展国内外工程市场；三是持续研发提升高新技术含量。</w:t>
      </w:r>
    </w:p>
    <w:p>
      <w:pPr>
        <w:spacing w:lineRule="exact" w:line="600" w:before="120" w:after="120"/>
        <w:ind w:firstLine="420"/>
        <w:jc w:val="left"/>
      </w:pPr>
      <w:r>
        <w:rPr>
          <w:rFonts w:ascii="楷体_GB2312" w:hAnsi="楷体_GB2312" w:eastAsia="楷体_GB2312"/>
          <w:b w:val="0"/>
          <w:color w:val="000000"/>
          <w:sz w:val="32"/>
        </w:rPr>
        <w:t>（三）主要挑战</w:t>
      </w:r>
    </w:p>
    <w:p>
      <w:pPr>
        <w:spacing w:lineRule="exact" w:line="600" w:before="0" w:after="0"/>
        <w:ind w:firstLine="420"/>
        <w:jc w:val="both"/>
      </w:pPr>
      <w:r>
        <w:rPr>
          <w:rFonts w:ascii="仿宋_GB2312" w:hAnsi="仿宋_GB2312" w:eastAsia="仿宋_GB2312"/>
          <w:b w:val="0"/>
          <w:color w:val="000000"/>
          <w:sz w:val="32"/>
        </w:rPr>
        <w:t>一是房地产与基建下行压制需求；二是原片价格波动；三是工程回款与应收账款风险；四是规模与财务透明度短板。</w:t>
      </w:r>
    </w:p>
    <w:p>
      <w:pPr>
        <w:spacing w:lineRule="exact" w:line="600" w:before="120" w:after="120"/>
        <w:ind w:firstLine="420"/>
        <w:jc w:val="left"/>
      </w:pPr>
      <w:r>
        <w:rPr>
          <w:rFonts w:ascii="楷体_GB2312" w:hAnsi="楷体_GB2312" w:eastAsia="楷体_GB2312"/>
          <w:b w:val="0"/>
          <w:color w:val="000000"/>
          <w:sz w:val="32"/>
        </w:rPr>
        <w:t>（四）结论与建议</w:t>
      </w:r>
    </w:p>
    <w:p>
      <w:pPr>
        <w:spacing w:lineRule="exact" w:line="600" w:before="0" w:after="0"/>
        <w:ind w:firstLine="420"/>
        <w:jc w:val="both"/>
      </w:pPr>
      <w:r>
        <w:rPr>
          <w:rFonts w:ascii="仿宋_GB2312" w:hAnsi="仿宋_GB2312" w:eastAsia="仿宋_GB2312"/>
          <w:b w:val="0"/>
          <w:color w:val="000000"/>
          <w:sz w:val="32"/>
        </w:rPr>
        <w:t>结论：丰华玻璃是滕州玻璃新材料集群中稳健经营、资质良好的区域性深加工骨干，信用风险中等偏低，是山东投资在集群内可择优合作的中小企业客户。</w:t>
      </w:r>
    </w:p>
    <w:p>
      <w:pPr>
        <w:spacing w:lineRule="exact" w:line="600" w:before="0" w:after="0"/>
        <w:ind w:firstLine="420"/>
        <w:jc w:val="both"/>
      </w:pPr>
      <w:r>
        <w:rPr>
          <w:rFonts w:ascii="仿宋_GB2312" w:hAnsi="仿宋_GB2312" w:eastAsia="仿宋_GB2312"/>
          <w:b w:val="0"/>
          <w:color w:val="000000"/>
          <w:sz w:val="32"/>
        </w:rPr>
        <w:t>对企业的建议：一是坚定向节能安全玻璃升级；二是加强应收账款管理、控制账期；三是提升财务透明度；四是依托集群协同降本。</w:t>
      </w:r>
    </w:p>
    <w:p>
      <w:pPr>
        <w:spacing w:lineRule="exact" w:line="600" w:before="0" w:after="0"/>
        <w:ind w:firstLine="420"/>
        <w:jc w:val="both"/>
      </w:pPr>
      <w:r>
        <w:rPr>
          <w:rFonts w:ascii="仿宋_GB2312" w:hAnsi="仿宋_GB2312" w:eastAsia="仿宋_GB2312"/>
          <w:b w:val="0"/>
          <w:color w:val="000000"/>
          <w:sz w:val="32"/>
        </w:rPr>
        <w:t>对山东投资的建议：将丰华玻璃列为集群内中小企业重点培育客户，以供应链金融与小贷为主要合作产品，辅以设备融资租赁，严格风控、实控人担保，逐步建立信用合作基础。</w:t>
      </w:r>
    </w:p>
    <w:p>
      <w:pPr>
        <w:spacing w:lineRule="exact" w:line="600" w:before="120" w:after="120"/>
        <w:ind w:firstLine="420"/>
        <w:jc w:val="left"/>
      </w:pPr>
      <w:r>
        <w:rPr>
          <w:rFonts w:ascii="黑体" w:hAnsi="黑体" w:eastAsia="黑体"/>
          <w:b w:val="0"/>
          <w:color w:val="000000"/>
          <w:sz w:val="32"/>
        </w:rPr>
        <w:t>数据来源说明</w:t>
      </w:r>
    </w:p>
    <w:p>
      <w:pPr>
        <w:spacing w:lineRule="exact" w:line="600" w:before="0" w:after="0"/>
        <w:ind w:firstLine="420"/>
        <w:jc w:val="both"/>
      </w:pPr>
      <w:r>
        <w:rPr>
          <w:rFonts w:ascii="仿宋_GB2312" w:hAnsi="仿宋_GB2312" w:eastAsia="仿宋_GB2312"/>
          <w:b w:val="0"/>
          <w:color w:val="000000"/>
          <w:sz w:val="32"/>
        </w:rPr>
        <w:t>本报告工商登记信息（统一社会信用代码、成立时间、法定代表人、注册资本、企业类型、登记状态、经营范围、注册地址、社保人数、资质荣誉、司法涉诉）来源于国家企业信用信息公示系统及天眼查、爱企查、企查查公开快照。</w:t>
      </w:r>
    </w:p>
    <w:p>
      <w:pPr>
        <w:spacing w:lineRule="exact" w:line="600" w:before="0" w:after="0"/>
        <w:ind w:firstLine="420"/>
        <w:jc w:val="both"/>
      </w:pPr>
      <w:r>
        <w:rPr>
          <w:rFonts w:ascii="仿宋_GB2312" w:hAnsi="仿宋_GB2312" w:eastAsia="仿宋_GB2312"/>
          <w:b w:val="0"/>
          <w:color w:val="000000"/>
          <w:sz w:val="32"/>
        </w:rPr>
        <w:t>股权结构（王伟90%、范玉然10%）与主要人员信息来源于公开工商信息。</w:t>
      </w:r>
    </w:p>
    <w:p>
      <w:pPr>
        <w:spacing w:lineRule="exact" w:line="600" w:before="0" w:after="0"/>
        <w:ind w:firstLine="420"/>
        <w:jc w:val="both"/>
      </w:pPr>
      <w:r>
        <w:rPr>
          <w:rFonts w:ascii="仿宋_GB2312" w:hAnsi="仿宋_GB2312" w:eastAsia="仿宋_GB2312"/>
          <w:b w:val="0"/>
          <w:color w:val="000000"/>
          <w:sz w:val="32"/>
        </w:rPr>
        <w:t>产品与工程案例、设备配置、官网信息来源于公司官网（fenghuaglass.com）及大众日报、滕州玻璃新材料论坛等公开报道。</w:t>
      </w:r>
    </w:p>
    <w:p>
      <w:pPr>
        <w:spacing w:lineRule="exact" w:line="600" w:before="0" w:after="0"/>
        <w:ind w:firstLine="420"/>
        <w:jc w:val="both"/>
      </w:pPr>
      <w:r>
        <w:rPr>
          <w:rFonts w:ascii="仿宋_GB2312" w:hAnsi="仿宋_GB2312" w:eastAsia="仿宋_GB2312"/>
          <w:b w:val="0"/>
          <w:color w:val="000000"/>
          <w:sz w:val="32"/>
        </w:rPr>
        <w:t>财务数据特别说明：滕州市丰华玻璃有限公司为非上市民营企业，单体经审计财务报表未公开披露，故本报告未列示具体财务科目数据，亦不作推定；文中注册资本、人员、资质等数据来自公开工商与官网口径，未经审计验证。以上信息统计时点截至2026年8月公开可查范围。</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