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滕州市玻璃新材料特色产业集群</w:t>
      </w:r>
    </w:p>
    <w:p>
      <w:pPr>
        <w:spacing w:lineRule="exact" w:line="600" w:before="240" w:after="240"/>
        <w:ind w:firstLine="0"/>
        <w:jc w:val="center"/>
      </w:pPr>
      <w:r>
        <w:rPr>
          <w:rFonts w:ascii="方正小标宋简体" w:hAnsi="方正小标宋简体" w:eastAsia="方正小标宋简体"/>
          <w:b w:val="0"/>
          <w:color w:val="000000"/>
          <w:sz w:val="44"/>
        </w:rPr>
        <w:t>滕州金晶玻璃有限公司企业分析报告</w:t>
      </w:r>
    </w:p>
    <w:p>
      <w:pPr>
        <w:spacing w:lineRule="exact" w:line="600" w:before="0" w:after="0"/>
        <w:jc w:val="left"/>
      </w:pPr>
      <w:r>
        <w:rPr>
          <w:rFonts w:ascii="仿宋_GB2312" w:hAnsi="仿宋_GB2312" w:eastAsia="仿宋_GB2312"/>
          <w:b w:val="0"/>
          <w:color w:val="000000"/>
          <w:sz w:val="28"/>
        </w:rPr>
        <w:t>（说明：滕州金晶玻璃有限公司为A股上市公司山东金晶科技股份有限公司（证券代码600586，简称金晶科技）在滕州市布局的玻璃产业生产基地与运营主体，主要承载超白玻璃、TCO导电玻璃等高端玻璃产品的生产。金晶科技为滕州金晶的上市母公司，滕州金晶的财务数据纳入金晶科技合并报表范围。本报告文件名与集群名录保持一致，分析对象为滕州金晶玻璃有限公司（金晶科技滕州基地），财务分析以上市母公司金晶科技（600586）合并口径数据为依据。本报告数据来源于金晶科技2022—2024年年度报告及摘要（巨潮资讯网）、2025年三季报与2026年一季报、金晶集团官网（www.cnggg.cn）、证券时报等公开报道及国家企业信用信息公示系统、天眼查公开快照，统计时点截至2026年8月公开可查范围。）</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滕州金晶玻璃有限公司为金晶科技（600586）在滕州市的玻璃生产基地与运营主体。其上市母公司山东金晶科技股份有限公司成立于1999年12月31日，于2002年8月15日在上海证券交易所主板上市，证券代码600586，法定代表人为王刚，注册资本141733.77万元，注册地址位于山东省淄博市高新技术开发区。</w:t>
      </w:r>
    </w:p>
    <w:p>
      <w:pPr>
        <w:spacing w:lineRule="exact" w:line="600" w:before="0" w:after="0"/>
        <w:ind w:firstLine="420"/>
        <w:jc w:val="both"/>
      </w:pPr>
      <w:r>
        <w:rPr>
          <w:rFonts w:ascii="仿宋_GB2312" w:hAnsi="仿宋_GB2312" w:eastAsia="仿宋_GB2312"/>
          <w:b w:val="0"/>
          <w:color w:val="000000"/>
          <w:sz w:val="32"/>
        </w:rPr>
        <w:t>滕州基地是金晶科技"淄博+滕州"双TCO玻璃产线布局的重要一环，位于滕州市（具体坐落于滕州玻璃新材料产业集聚区），主要从事超白玻璃、TCO导电玻璃、节能玻璃等产品的生产，2025年滕州公司排污许可证执行报告等公开信息印证其独立运营的生产主体地位。</w:t>
      </w:r>
    </w:p>
    <w:p>
      <w:pPr>
        <w:spacing w:lineRule="exact" w:line="600" w:before="0" w:after="0"/>
        <w:ind w:firstLine="420"/>
        <w:jc w:val="both"/>
      </w:pPr>
      <w:r>
        <w:rPr>
          <w:rFonts w:ascii="仿宋_GB2312" w:hAnsi="仿宋_GB2312" w:eastAsia="仿宋_GB2312"/>
          <w:b w:val="0"/>
          <w:color w:val="000000"/>
          <w:sz w:val="32"/>
        </w:rPr>
        <w:t>金晶科技企业性质为民营相对控股企业，第一大股东为山东金晶节能玻璃有限公司（持股约32.03%，系王刚控制的一致行动主体）。公司所属行业为建筑材料—玻璃玻纤—玻璃制造，主营业务为建筑及节能玻璃、纯碱业务、光伏玻璃业务、砂岩业务，是国家高新技术企业、国内超白玻璃龙头企业。</w:t>
      </w:r>
    </w:p>
    <w:p>
      <w:pPr>
        <w:spacing w:lineRule="exact" w:line="600" w:before="120" w:after="120"/>
        <w:ind w:firstLine="420"/>
        <w:jc w:val="left"/>
      </w:pPr>
      <w:r>
        <w:rPr>
          <w:rFonts w:ascii="楷体_GB2312" w:hAnsi="楷体_GB2312" w:eastAsia="楷体_GB2312"/>
          <w:b w:val="0"/>
          <w:color w:val="000000"/>
          <w:sz w:val="32"/>
        </w:rPr>
        <w:t>（二）股权结构与实际控制人</w:t>
      </w:r>
    </w:p>
    <w:p>
      <w:pPr>
        <w:spacing w:lineRule="exact" w:line="600" w:before="0" w:after="0"/>
        <w:ind w:firstLine="420"/>
        <w:jc w:val="both"/>
      </w:pPr>
      <w:r>
        <w:rPr>
          <w:rFonts w:ascii="仿宋_GB2312" w:hAnsi="仿宋_GB2312" w:eastAsia="仿宋_GB2312"/>
          <w:b w:val="0"/>
          <w:color w:val="000000"/>
          <w:sz w:val="32"/>
        </w:rPr>
        <w:t>金晶科技（600586）股权结构相对分散，第一大股东山东金晶节能玻璃有限公司持股约32.03%，为控股股东；公司实际控制人为王刚（通过山东金晶节能玻璃有限公司及一致行动关系）。前十大股东中还包括香港中央结算有限公司、南方中证1000ETF、信泰人寿等机构。</w:t>
      </w:r>
    </w:p>
    <w:tbl>
      <w:tblPr>
        <w:tblStyle w:val="TableGrid"/>
        <w:tblW w:type="auto" w:w="0"/>
        <w:jc w:val="center"/>
        <w:tblLook w:firstColumn="1" w:firstRow="1" w:lastColumn="0" w:lastRow="0" w:noHBand="0" w:noVBand="1" w:val="04A0"/>
      </w:tblPr>
      <w:tblGrid>
        <w:gridCol w:w="2948"/>
        <w:gridCol w:w="2948"/>
        <w:gridCol w:w="2948"/>
      </w:tblGrid>
      <w:tr>
        <w:tc>
          <w:tcPr>
            <w:tcW w:type="dxa" w:w="3969"/>
          </w:tcPr>
          <w:p>
            <w:pPr>
              <w:spacing w:lineRule="exact" w:line="600"/>
              <w:jc w:val="center"/>
            </w:pPr>
            <w:r/>
            <w:r>
              <w:rPr>
                <w:rFonts w:ascii="黑体" w:hAnsi="黑体" w:eastAsia="黑体"/>
                <w:b/>
                <w:color w:val="000000"/>
                <w:sz w:val="32"/>
              </w:rPr>
              <w:t>股东名称</w:t>
            </w:r>
          </w:p>
        </w:tc>
        <w:tc>
          <w:tcPr>
            <w:tcW w:type="dxa" w:w="2835"/>
          </w:tcPr>
          <w:p>
            <w:pPr>
              <w:spacing w:lineRule="exact" w:line="600"/>
              <w:jc w:val="center"/>
            </w:pPr>
            <w:r/>
            <w:r>
              <w:rPr>
                <w:rFonts w:ascii="黑体" w:hAnsi="黑体" w:eastAsia="黑体"/>
                <w:b/>
                <w:color w:val="000000"/>
                <w:sz w:val="32"/>
              </w:rPr>
              <w:t>股东性质</w:t>
            </w:r>
          </w:p>
        </w:tc>
        <w:tc>
          <w:tcPr>
            <w:tcW w:type="dxa" w:w="1587"/>
          </w:tcPr>
          <w:p>
            <w:pPr>
              <w:spacing w:lineRule="exact" w:line="600"/>
              <w:jc w:val="center"/>
            </w:pPr>
            <w:r/>
            <w:r>
              <w:rPr>
                <w:rFonts w:ascii="黑体" w:hAnsi="黑体" w:eastAsia="黑体"/>
                <w:b/>
                <w:color w:val="000000"/>
                <w:sz w:val="32"/>
              </w:rPr>
              <w:t>持股比例</w:t>
            </w:r>
          </w:p>
        </w:tc>
      </w:tr>
      <w:tr>
        <w:tc>
          <w:tcPr>
            <w:tcW w:type="dxa" w:w="3969"/>
          </w:tcPr>
          <w:p>
            <w:pPr>
              <w:spacing w:lineRule="exact" w:line="600"/>
              <w:jc w:val="center"/>
            </w:pPr>
            <w:r/>
            <w:r>
              <w:rPr>
                <w:rFonts w:ascii="仿宋_GB2312" w:hAnsi="仿宋_GB2312" w:eastAsia="仿宋_GB2312"/>
                <w:b w:val="0"/>
                <w:color w:val="000000"/>
                <w:sz w:val="32"/>
              </w:rPr>
              <w:t>山东金晶节能玻璃有限公司</w:t>
            </w:r>
          </w:p>
        </w:tc>
        <w:tc>
          <w:tcPr>
            <w:tcW w:type="dxa" w:w="2835"/>
          </w:tcPr>
          <w:p>
            <w:pPr>
              <w:spacing w:lineRule="exact" w:line="600"/>
              <w:jc w:val="center"/>
            </w:pPr>
            <w:r/>
            <w:r>
              <w:rPr>
                <w:rFonts w:ascii="仿宋_GB2312" w:hAnsi="仿宋_GB2312" w:eastAsia="仿宋_GB2312"/>
                <w:b w:val="0"/>
                <w:color w:val="000000"/>
                <w:sz w:val="32"/>
              </w:rPr>
              <w:t>境内非国有法人（控股股东）</w:t>
            </w:r>
          </w:p>
        </w:tc>
        <w:tc>
          <w:tcPr>
            <w:tcW w:type="dxa" w:w="1587"/>
          </w:tcPr>
          <w:p>
            <w:pPr>
              <w:spacing w:lineRule="exact" w:line="600"/>
              <w:jc w:val="center"/>
            </w:pPr>
            <w:r/>
            <w:r>
              <w:rPr>
                <w:rFonts w:ascii="仿宋_GB2312" w:hAnsi="仿宋_GB2312" w:eastAsia="仿宋_GB2312"/>
                <w:b w:val="0"/>
                <w:color w:val="000000"/>
                <w:sz w:val="32"/>
              </w:rPr>
              <w:t>32.03%</w:t>
            </w:r>
          </w:p>
        </w:tc>
      </w:tr>
      <w:tr>
        <w:tc>
          <w:tcPr>
            <w:tcW w:type="dxa" w:w="3969"/>
          </w:tcPr>
          <w:p>
            <w:pPr>
              <w:spacing w:lineRule="exact" w:line="600"/>
              <w:jc w:val="center"/>
            </w:pPr>
            <w:r/>
            <w:r>
              <w:rPr>
                <w:rFonts w:ascii="仿宋_GB2312" w:hAnsi="仿宋_GB2312" w:eastAsia="仿宋_GB2312"/>
                <w:b w:val="0"/>
                <w:color w:val="000000"/>
                <w:sz w:val="32"/>
              </w:rPr>
              <w:t>香港中央结算有限公司</w:t>
            </w:r>
          </w:p>
        </w:tc>
        <w:tc>
          <w:tcPr>
            <w:tcW w:type="dxa" w:w="2835"/>
          </w:tcPr>
          <w:p>
            <w:pPr>
              <w:spacing w:lineRule="exact" w:line="600"/>
              <w:jc w:val="center"/>
            </w:pPr>
            <w:r/>
            <w:r>
              <w:rPr>
                <w:rFonts w:ascii="仿宋_GB2312" w:hAnsi="仿宋_GB2312" w:eastAsia="仿宋_GB2312"/>
                <w:b w:val="0"/>
                <w:color w:val="000000"/>
                <w:sz w:val="32"/>
              </w:rPr>
              <w:t>境外法人</w:t>
            </w:r>
          </w:p>
        </w:tc>
        <w:tc>
          <w:tcPr>
            <w:tcW w:type="dxa" w:w="1587"/>
          </w:tcPr>
          <w:p>
            <w:pPr>
              <w:spacing w:lineRule="exact" w:line="600"/>
              <w:jc w:val="center"/>
            </w:pPr>
            <w:r/>
            <w:r>
              <w:rPr>
                <w:rFonts w:ascii="仿宋_GB2312" w:hAnsi="仿宋_GB2312" w:eastAsia="仿宋_GB2312"/>
                <w:b w:val="0"/>
                <w:color w:val="000000"/>
                <w:sz w:val="32"/>
              </w:rPr>
              <w:t>约0.63%</w:t>
            </w:r>
          </w:p>
        </w:tc>
      </w:tr>
      <w:tr>
        <w:tc>
          <w:tcPr>
            <w:tcW w:type="dxa" w:w="3969"/>
          </w:tcPr>
          <w:p>
            <w:pPr>
              <w:spacing w:lineRule="exact" w:line="600"/>
              <w:jc w:val="center"/>
            </w:pPr>
            <w:r/>
            <w:r>
              <w:rPr>
                <w:rFonts w:ascii="仿宋_GB2312" w:hAnsi="仿宋_GB2312" w:eastAsia="仿宋_GB2312"/>
                <w:b w:val="0"/>
                <w:color w:val="000000"/>
                <w:sz w:val="32"/>
              </w:rPr>
              <w:t>信泰人寿保险股份有限公司—分红产品</w:t>
            </w:r>
          </w:p>
        </w:tc>
        <w:tc>
          <w:tcPr>
            <w:tcW w:type="dxa" w:w="2835"/>
          </w:tcPr>
          <w:p>
            <w:pPr>
              <w:spacing w:lineRule="exact" w:line="600"/>
              <w:jc w:val="center"/>
            </w:pPr>
            <w:r/>
            <w:r>
              <w:rPr>
                <w:rFonts w:ascii="仿宋_GB2312" w:hAnsi="仿宋_GB2312" w:eastAsia="仿宋_GB2312"/>
                <w:b w:val="0"/>
                <w:color w:val="000000"/>
                <w:sz w:val="32"/>
              </w:rPr>
              <w:t>其他</w:t>
            </w:r>
          </w:p>
        </w:tc>
        <w:tc>
          <w:tcPr>
            <w:tcW w:type="dxa" w:w="1587"/>
          </w:tcPr>
          <w:p>
            <w:pPr>
              <w:spacing w:lineRule="exact" w:line="600"/>
              <w:jc w:val="center"/>
            </w:pPr>
            <w:r/>
            <w:r>
              <w:rPr>
                <w:rFonts w:ascii="仿宋_GB2312" w:hAnsi="仿宋_GB2312" w:eastAsia="仿宋_GB2312"/>
                <w:b w:val="0"/>
                <w:color w:val="000000"/>
                <w:sz w:val="32"/>
              </w:rPr>
              <w:t>约0.72%</w:t>
            </w:r>
          </w:p>
        </w:tc>
      </w:tr>
      <w:tr>
        <w:tc>
          <w:tcPr>
            <w:tcW w:type="dxa" w:w="3969"/>
          </w:tcPr>
          <w:p>
            <w:pPr>
              <w:spacing w:lineRule="exact" w:line="600"/>
              <w:jc w:val="center"/>
            </w:pPr>
            <w:r/>
            <w:r>
              <w:rPr>
                <w:rFonts w:ascii="仿宋_GB2312" w:hAnsi="仿宋_GB2312" w:eastAsia="仿宋_GB2312"/>
                <w:b w:val="0"/>
                <w:color w:val="000000"/>
                <w:sz w:val="32"/>
              </w:rPr>
              <w:t>余似苹等社会公众股东</w:t>
            </w:r>
          </w:p>
        </w:tc>
        <w:tc>
          <w:tcPr>
            <w:tcW w:type="dxa" w:w="2835"/>
          </w:tcPr>
          <w:p>
            <w:pPr>
              <w:spacing w:lineRule="exact" w:line="600"/>
              <w:jc w:val="center"/>
            </w:pPr>
            <w:r/>
            <w:r>
              <w:rPr>
                <w:rFonts w:ascii="仿宋_GB2312" w:hAnsi="仿宋_GB2312" w:eastAsia="仿宋_GB2312"/>
                <w:b w:val="0"/>
                <w:color w:val="000000"/>
                <w:sz w:val="32"/>
              </w:rPr>
              <w:t>境内自然人</w:t>
            </w:r>
          </w:p>
        </w:tc>
        <w:tc>
          <w:tcPr>
            <w:tcW w:type="dxa" w:w="1587"/>
          </w:tcPr>
          <w:p>
            <w:pPr>
              <w:spacing w:lineRule="exact" w:line="600"/>
              <w:jc w:val="center"/>
            </w:pPr>
            <w:r/>
            <w:r>
              <w:rPr>
                <w:rFonts w:ascii="仿宋_GB2312" w:hAnsi="仿宋_GB2312" w:eastAsia="仿宋_GB2312"/>
                <w:b w:val="0"/>
                <w:color w:val="000000"/>
                <w:sz w:val="32"/>
              </w:rPr>
              <w:t>—</w:t>
            </w:r>
          </w:p>
        </w:tc>
      </w:tr>
    </w:tbl>
    <w:p>
      <w:pPr>
        <w:spacing w:lineRule="exact" w:line="600" w:before="0" w:after="0"/>
        <w:ind w:firstLine="420"/>
        <w:jc w:val="both"/>
      </w:pPr>
      <w:r>
        <w:rPr>
          <w:rFonts w:ascii="仿宋_GB2312" w:hAnsi="仿宋_GB2312" w:eastAsia="仿宋_GB2312"/>
          <w:b w:val="0"/>
          <w:color w:val="000000"/>
          <w:sz w:val="32"/>
        </w:rPr>
        <w:t>需关注的风险信号：截至2024年年报披露，第一大股东山东金晶节能玻璃有限公司质押1.72亿股公司股份，占其全部持股的37.67%，公司整体约12.07%股份处于质押状态。虽未触发实际控制权变更，但较高比例的股权质押提示需关注控股股东的流动性与平仓风险。</w:t>
      </w:r>
    </w:p>
    <w:p>
      <w:pPr>
        <w:spacing w:lineRule="exact" w:line="600" w:before="120" w:after="120"/>
        <w:ind w:firstLine="420"/>
        <w:jc w:val="left"/>
      </w:pPr>
      <w:r>
        <w:rPr>
          <w:rFonts w:ascii="楷体_GB2312" w:hAnsi="楷体_GB2312" w:eastAsia="楷体_GB2312"/>
          <w:b w:val="0"/>
          <w:color w:val="000000"/>
          <w:sz w:val="32"/>
        </w:rPr>
        <w:t>（三）组织架构</w:t>
      </w:r>
    </w:p>
    <w:p>
      <w:pPr>
        <w:spacing w:lineRule="exact" w:line="600" w:before="0" w:after="0"/>
        <w:ind w:firstLine="420"/>
        <w:jc w:val="both"/>
      </w:pPr>
      <w:r>
        <w:rPr>
          <w:rFonts w:ascii="仿宋_GB2312" w:hAnsi="仿宋_GB2312" w:eastAsia="仿宋_GB2312"/>
          <w:b w:val="0"/>
          <w:color w:val="000000"/>
          <w:sz w:val="32"/>
        </w:rPr>
        <w:t>金晶科技为集团化运营的上市公司，滕州金晶作为其核心生产基地之一，与淄博基地共同构成玻璃制造板块。公司业务板块包括玻璃制造（超白玻璃、TCO导电玻璃、节能玻璃）、纯碱、光伏玻璃、砂岩等，各板块由总部统筹、基地分工生产。</w:t>
      </w:r>
    </w:p>
    <w:p>
      <w:pPr>
        <w:spacing w:lineRule="exact" w:line="600" w:before="0" w:after="0"/>
        <w:ind w:firstLine="420"/>
        <w:jc w:val="both"/>
      </w:pPr>
      <w:r>
        <w:rPr>
          <w:rFonts w:ascii="仿宋_GB2312" w:hAnsi="仿宋_GB2312" w:eastAsia="仿宋_GB2312"/>
          <w:b w:val="0"/>
          <w:color w:val="000000"/>
          <w:sz w:val="32"/>
        </w:rPr>
        <w:t>滕州基地在金晶科技体系中承担超白玻璃与TCO导电玻璃的关键产能，是公司切入钙钛矿光伏赛道的核心载体。公司设有滕州金晶新材料检测中心，体现其在新材料检测与品控上的投入。</w:t>
      </w:r>
    </w:p>
    <w:p>
      <w:pPr>
        <w:spacing w:lineRule="exact" w:line="600" w:before="120" w:after="120"/>
        <w:ind w:firstLine="420"/>
        <w:jc w:val="left"/>
      </w:pPr>
      <w:r>
        <w:rPr>
          <w:rFonts w:ascii="楷体_GB2312" w:hAnsi="楷体_GB2312" w:eastAsia="楷体_GB2312"/>
          <w:b w:val="0"/>
          <w:color w:val="000000"/>
          <w:sz w:val="32"/>
        </w:rPr>
        <w:t>（四）发展沿革</w:t>
      </w:r>
    </w:p>
    <w:p>
      <w:pPr>
        <w:spacing w:lineRule="exact" w:line="600" w:before="0" w:after="0"/>
        <w:ind w:firstLine="420"/>
        <w:jc w:val="both"/>
      </w:pPr>
      <w:r>
        <w:rPr>
          <w:rFonts w:ascii="仿宋_GB2312" w:hAnsi="仿宋_GB2312" w:eastAsia="仿宋_GB2312"/>
          <w:b w:val="0"/>
          <w:color w:val="000000"/>
          <w:sz w:val="32"/>
        </w:rPr>
        <w:t>2002年，金晶科技在上海证券交易所主板上市，成为国内玻璃行业较早的上市公司之一。</w:t>
      </w:r>
    </w:p>
    <w:p>
      <w:pPr>
        <w:spacing w:lineRule="exact" w:line="600" w:before="0" w:after="0"/>
        <w:ind w:firstLine="420"/>
        <w:jc w:val="both"/>
      </w:pPr>
      <w:r>
        <w:rPr>
          <w:rFonts w:ascii="仿宋_GB2312" w:hAnsi="仿宋_GB2312" w:eastAsia="仿宋_GB2312"/>
          <w:b w:val="0"/>
          <w:color w:val="000000"/>
          <w:sz w:val="32"/>
        </w:rPr>
        <w:t>2004年，公司5号超白玻璃生产线投产，这是中国首条超白玻璃生产线，曾产出全球最大最厚的超白玻璃，应用于国内外多个地标建筑，奠定公司超白玻璃龙头地位。</w:t>
      </w:r>
    </w:p>
    <w:p>
      <w:pPr>
        <w:spacing w:lineRule="exact" w:line="600" w:before="0" w:after="0"/>
        <w:ind w:firstLine="420"/>
        <w:jc w:val="both"/>
      </w:pPr>
      <w:r>
        <w:rPr>
          <w:rFonts w:ascii="仿宋_GB2312" w:hAnsi="仿宋_GB2312" w:eastAsia="仿宋_GB2312"/>
          <w:b w:val="0"/>
          <w:color w:val="000000"/>
          <w:sz w:val="32"/>
        </w:rPr>
        <w:t>历经近二十年研发，公司实现TCO玻璃从设备制造到产品设计、量产的全链条自主可控，攻克大尺寸镀膜均匀性、高导电高迁移率、高透光与低电阻难以兼得等技术难题，填补国产空白，解决了太阳能薄膜电池行业"卡脖子"问题。</w:t>
      </w:r>
    </w:p>
    <w:p>
      <w:pPr>
        <w:spacing w:lineRule="exact" w:line="600" w:before="0" w:after="0"/>
        <w:ind w:firstLine="420"/>
        <w:jc w:val="both"/>
      </w:pPr>
      <w:r>
        <w:rPr>
          <w:rFonts w:ascii="仿宋_GB2312" w:hAnsi="仿宋_GB2312" w:eastAsia="仿宋_GB2312"/>
          <w:b w:val="0"/>
          <w:color w:val="000000"/>
          <w:sz w:val="32"/>
        </w:rPr>
        <w:t>2024年7月，公司完成5号超白线90天冷修技改并重新点火，一次成型超白玻璃有望达30米，透光率由91.5%提升至92%；同期宁夏金晶发布4.95亿元TCO镀膜工艺技改计划，改造后具备年产2000万平方米2—3.2mm超白TCO镀膜玻璃能力。</w:t>
      </w:r>
    </w:p>
    <w:p>
      <w:pPr>
        <w:spacing w:lineRule="exact" w:line="600" w:before="0" w:after="0"/>
        <w:ind w:firstLine="420"/>
        <w:jc w:val="both"/>
      </w:pPr>
      <w:r>
        <w:rPr>
          <w:rFonts w:ascii="仿宋_GB2312" w:hAnsi="仿宋_GB2312" w:eastAsia="仿宋_GB2312"/>
          <w:b w:val="0"/>
          <w:color w:val="000000"/>
          <w:sz w:val="32"/>
        </w:rPr>
        <w:t>2025年，公司TCO玻璃已成功配套极电光能、协鑫光电、纤纳光电等钙钛矿电池龙头，占据国内绝大部分市场份额，并应用于全球首座"超阶零碳大楼"（青岛特来电总部基地）等多个标杆BIPV项目。</w:t>
      </w:r>
    </w:p>
    <w:p>
      <w:pPr>
        <w:spacing w:lineRule="exact" w:line="600" w:before="120" w:after="120"/>
        <w:ind w:firstLine="420"/>
        <w:jc w:val="left"/>
      </w:pPr>
      <w:r>
        <w:rPr>
          <w:rFonts w:ascii="楷体_GB2312" w:hAnsi="楷体_GB2312" w:eastAsia="楷体_GB2312"/>
          <w:b w:val="0"/>
          <w:color w:val="000000"/>
          <w:sz w:val="32"/>
        </w:rPr>
        <w:t>（五）企业定位与主营业务</w:t>
      </w:r>
    </w:p>
    <w:p>
      <w:pPr>
        <w:spacing w:lineRule="exact" w:line="600" w:before="0" w:after="0"/>
        <w:ind w:firstLine="420"/>
        <w:jc w:val="both"/>
      </w:pPr>
      <w:r>
        <w:rPr>
          <w:rFonts w:ascii="仿宋_GB2312" w:hAnsi="仿宋_GB2312" w:eastAsia="仿宋_GB2312"/>
          <w:b w:val="0"/>
          <w:color w:val="000000"/>
          <w:sz w:val="32"/>
        </w:rPr>
        <w:t>公司战略定位为国内超白玻璃龙头与钙钛矿光伏TCO玻璃核心供应商，专注于绿色建筑、绿色能源（光伏）赛道，推进产业向高端化、智能化、绿色化转型。</w:t>
      </w:r>
    </w:p>
    <w:p>
      <w:pPr>
        <w:spacing w:lineRule="exact" w:line="600" w:before="0" w:after="0"/>
        <w:ind w:firstLine="420"/>
        <w:jc w:val="both"/>
      </w:pPr>
      <w:r>
        <w:rPr>
          <w:rFonts w:ascii="仿宋_GB2312" w:hAnsi="仿宋_GB2312" w:eastAsia="仿宋_GB2312"/>
          <w:b w:val="0"/>
          <w:color w:val="000000"/>
          <w:sz w:val="32"/>
        </w:rPr>
        <w:t>滕州基地主营业务为超白玻璃、TCO导电玻璃、节能玻璃等高端玻璃的研发、生产与销售。TCO玻璃是钙钛矿电池的核心辅料（约占钙钛矿电池总成本34%），此前长期被日本企业垄断，公司是国内为数不多掌握TCO玻璃技术且能实现量产的企业之一。</w:t>
      </w:r>
    </w:p>
    <w:p>
      <w:pPr>
        <w:spacing w:lineRule="exact" w:line="600" w:before="120" w:after="120"/>
        <w:ind w:firstLine="420"/>
        <w:jc w:val="left"/>
      </w:pPr>
      <w:r>
        <w:rPr>
          <w:rFonts w:ascii="黑体" w:hAnsi="黑体" w:eastAsia="黑体"/>
          <w:b w:val="0"/>
          <w:color w:val="000000"/>
          <w:sz w:val="32"/>
        </w:rPr>
        <w:t>二、业务层面分析（核心）</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金晶科技（合并口径）主营业务由建筑及节能玻璃、纯碱、光伏玻璃、砂岩四大板块构成。其中超白玻璃与TCO导电玻璃属建筑及节能玻璃与光伏玻璃交叉的高附加值品类，是公司绿色能源赛道的核心载体。</w:t>
      </w:r>
    </w:p>
    <w:p>
      <w:pPr>
        <w:spacing w:lineRule="exact" w:line="600" w:before="0" w:after="0"/>
        <w:ind w:firstLine="420"/>
        <w:jc w:val="both"/>
      </w:pPr>
      <w:r>
        <w:rPr>
          <w:rFonts w:ascii="仿宋_GB2312" w:hAnsi="仿宋_GB2312" w:eastAsia="仿宋_GB2312"/>
          <w:b w:val="0"/>
          <w:color w:val="000000"/>
          <w:sz w:val="32"/>
        </w:rPr>
        <w:t>因滕州金晶为生产基地而非独立核算主体，其单体分产品收入未单独披露，以下以金晶科技合并口径说明业务格局：建筑及节能玻璃（含超白玻璃、Low-E节能玻璃）与纯碱为传统收入主力；光伏玻璃（含TCO导电玻璃）为成长性方向，受益于钙钛矿电池产业化提速。</w:t>
      </w:r>
    </w:p>
    <w:p>
      <w:pPr>
        <w:spacing w:lineRule="exact" w:line="600" w:before="120" w:after="120"/>
        <w:ind w:firstLine="420"/>
        <w:jc w:val="left"/>
      </w:pPr>
      <w:r>
        <w:rPr>
          <w:rFonts w:ascii="楷体_GB2312" w:hAnsi="楷体_GB2312" w:eastAsia="楷体_GB2312"/>
          <w:b w:val="0"/>
          <w:color w:val="000000"/>
          <w:sz w:val="32"/>
        </w:rPr>
        <w:t>（二）主要产品/服务</w:t>
      </w:r>
    </w:p>
    <w:p>
      <w:pPr>
        <w:spacing w:lineRule="exact" w:line="600" w:before="0" w:after="0"/>
        <w:ind w:firstLine="420"/>
        <w:jc w:val="both"/>
      </w:pPr>
      <w:r>
        <w:rPr>
          <w:rFonts w:ascii="仿宋_GB2312" w:hAnsi="仿宋_GB2312" w:eastAsia="仿宋_GB2312"/>
          <w:b w:val="0"/>
          <w:color w:val="000000"/>
          <w:sz w:val="32"/>
        </w:rPr>
        <w:t>第一，超白玻璃。公司是国内超白玻璃龙头，5号超白线为中国首条超白线，透光率可达92%，应用于地标建筑、高端幕墙等，品牌与品质国内领先。</w:t>
      </w:r>
    </w:p>
    <w:p>
      <w:pPr>
        <w:spacing w:lineRule="exact" w:line="600" w:before="0" w:after="0"/>
        <w:ind w:firstLine="420"/>
        <w:jc w:val="both"/>
      </w:pPr>
      <w:r>
        <w:rPr>
          <w:rFonts w:ascii="仿宋_GB2312" w:hAnsi="仿宋_GB2312" w:eastAsia="仿宋_GB2312"/>
          <w:b w:val="0"/>
          <w:color w:val="000000"/>
          <w:sz w:val="32"/>
        </w:rPr>
        <w:t>第二，TCO导电玻璃。这是公司最具战略价值的产品，用于钙钛矿/薄膜太阳能电池透明导电电极，打破国外垄断，配套极电光能、协鑫光电、纤纳光电等龙头，占国内绝大部分市场份额，是钙钛矿电池国产替代的关键材料。</w:t>
      </w:r>
    </w:p>
    <w:p>
      <w:pPr>
        <w:spacing w:lineRule="exact" w:line="600" w:before="0" w:after="0"/>
        <w:ind w:firstLine="420"/>
        <w:jc w:val="both"/>
      </w:pPr>
      <w:r>
        <w:rPr>
          <w:rFonts w:ascii="仿宋_GB2312" w:hAnsi="仿宋_GB2312" w:eastAsia="仿宋_GB2312"/>
          <w:b w:val="0"/>
          <w:color w:val="000000"/>
          <w:sz w:val="32"/>
        </w:rPr>
        <w:t>第三，Low-E节能玻璃与深加工玻璃。应用于绿色建筑、被动房、交通机车等领域，是公司建筑节能赛道的主力产品。</w:t>
      </w:r>
    </w:p>
    <w:p>
      <w:pPr>
        <w:spacing w:lineRule="exact" w:line="600" w:before="0" w:after="0"/>
        <w:ind w:firstLine="420"/>
        <w:jc w:val="both"/>
      </w:pPr>
      <w:r>
        <w:rPr>
          <w:rFonts w:ascii="仿宋_GB2312" w:hAnsi="仿宋_GB2312" w:eastAsia="仿宋_GB2312"/>
          <w:b w:val="0"/>
          <w:color w:val="000000"/>
          <w:sz w:val="32"/>
        </w:rPr>
        <w:t>第四，纯碱、砂岩等上游原料。公司具备纯碱与砂岩产能，与玻璃制造形成一定纵向协同，平滑原料波动。</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TCO玻璃客户为钙钛矿电池头部企业，包括极电光能、协鑫光电、纤纳光电等，客户层次高、绑定深；建筑节能玻璃客户覆盖地产、幕墙工程与轨道交通等领域；纯碱客户为化工与玻璃下游企业。</w:t>
      </w:r>
    </w:p>
    <w:p>
      <w:pPr>
        <w:spacing w:lineRule="exact" w:line="600" w:before="0" w:after="0"/>
        <w:ind w:firstLine="420"/>
        <w:jc w:val="both"/>
      </w:pPr>
      <w:r>
        <w:rPr>
          <w:rFonts w:ascii="仿宋_GB2312" w:hAnsi="仿宋_GB2312" w:eastAsia="仿宋_GB2312"/>
          <w:b w:val="0"/>
          <w:color w:val="000000"/>
          <w:sz w:val="32"/>
        </w:rPr>
        <w:t>TCO玻璃客户认证壁垒高、粘性强，一旦进入供应链便形成长期稳定供货，是公司收入质量与估值弹性的关键支撑。</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公司上游原料为纯碱、石英砂、化工辅料等，公司自身具备纯碱与砂岩产能，纵向一体化程度较高，原料保障与成本可控性优于单纯玻璃加工企业。</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产能方面，公司在淄博与滕州各布局一条TCO玻璃产线，是国内TCO玻璃双基地布局企业；宁夏金晶技改后新增年产2000万平方米超白TCO镀膜玻璃能力；5号超白线冷修后一次成型能力达30米、透光率92%。</w:t>
      </w:r>
    </w:p>
    <w:p>
      <w:pPr>
        <w:spacing w:lineRule="exact" w:line="600" w:before="0" w:after="0"/>
        <w:ind w:firstLine="420"/>
        <w:jc w:val="both"/>
      </w:pPr>
      <w:r>
        <w:rPr>
          <w:rFonts w:ascii="仿宋_GB2312" w:hAnsi="仿宋_GB2312" w:eastAsia="仿宋_GB2312"/>
          <w:b w:val="0"/>
          <w:color w:val="000000"/>
          <w:sz w:val="32"/>
        </w:rPr>
        <w:t>资源方面，公司核心资源为超白玻璃与TCO镀膜技术专利、双基地产能布局、以及纯碱/砂岩纵向一体化原料保障。</w:t>
      </w:r>
    </w:p>
    <w:p>
      <w:pPr>
        <w:spacing w:lineRule="exact" w:line="600" w:before="0" w:after="0"/>
        <w:ind w:firstLine="420"/>
        <w:jc w:val="both"/>
      </w:pPr>
      <w:r>
        <w:rPr>
          <w:rFonts w:ascii="仿宋_GB2312" w:hAnsi="仿宋_GB2312" w:eastAsia="仿宋_GB2312"/>
          <w:b w:val="0"/>
          <w:color w:val="000000"/>
          <w:sz w:val="32"/>
        </w:rPr>
        <w:t>牌照资质方面，公司为高新技术企业，持有排污许可证（滕州公司独立执行排污许可报告）、安全生产许可证等，通过ISO9002、ISO14001等体系认证，获山东省省长质量奖、金融界"金智奖"投资价值上市公司等荣誉。</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公司采用"基地生产＋总部营销"模式，依托金晶集团品牌与渠道，建筑节能玻璃面向工程与经销商，TCO玻璃面向钙钛矿电池头部企业直供，纯碱面向化工下游。公司拥有完善的销售网络与进出口资质。</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经营规模方面，金晶科技2024年营业收入64.52亿元、归母净利润6047.62万元、总资产104.06亿元、归母净资产58.25亿元；2026年一季度营业收入9.14亿元、净亏损1.56亿元。滕州基地作为公司TCO与超白玻璃核心产能所在地，是公司绿色能源赛道的关键贡献单元。</w:t>
      </w:r>
    </w:p>
    <w:p>
      <w:pPr>
        <w:spacing w:lineRule="exact" w:line="600" w:before="0" w:after="0"/>
        <w:ind w:firstLine="420"/>
        <w:jc w:val="both"/>
      </w:pPr>
      <w:r>
        <w:rPr>
          <w:rFonts w:ascii="仿宋_GB2312" w:hAnsi="仿宋_GB2312" w:eastAsia="仿宋_GB2312"/>
          <w:b w:val="0"/>
          <w:color w:val="000000"/>
          <w:sz w:val="32"/>
        </w:rPr>
        <w:t>市场地位方面，公司为国内超白玻璃龙头、TCO导电玻璃国产替代核心供应商，TCO玻璃占据国内绝大部分市场份额，在钙钛矿光伏材料领域具备显著先发与技术优势。</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ind w:firstLine="420"/>
        <w:jc w:val="both"/>
      </w:pPr>
      <w:r>
        <w:rPr>
          <w:rFonts w:ascii="仿宋_GB2312" w:hAnsi="仿宋_GB2312" w:eastAsia="仿宋_GB2312"/>
          <w:b w:val="0"/>
          <w:color w:val="000000"/>
          <w:sz w:val="32"/>
        </w:rPr>
        <w:t>金晶科技（600586）为上海证券交易所上市公司，财务数据经大信会计师事务所（特殊普通合伙）审计。因滕州金晶为生产基地、财务纳入合并报表，以下列示上市母公司近三年合并口径主要财务数据（单位：亿元）：</w:t>
      </w:r>
    </w:p>
    <w:tbl>
      <w:tblPr>
        <w:tblStyle w:val="TableGrid"/>
        <w:tblW w:type="auto" w:w="0"/>
        <w:jc w:val="center"/>
        <w:tblLook w:firstColumn="1" w:firstRow="1" w:lastColumn="0" w:lastRow="0" w:noHBand="0" w:noVBand="1" w:val="04A0"/>
      </w:tblPr>
      <w:tblGrid>
        <w:gridCol w:w="2211"/>
        <w:gridCol w:w="2211"/>
        <w:gridCol w:w="2211"/>
        <w:gridCol w:w="2211"/>
      </w:tblGrid>
      <w:tr>
        <w:tc>
          <w:tcPr>
            <w:tcW w:type="dxa" w:w="2608"/>
          </w:tcPr>
          <w:p>
            <w:pPr>
              <w:spacing w:lineRule="exact" w:line="600"/>
              <w:jc w:val="center"/>
            </w:pPr>
            <w:r/>
            <w:r>
              <w:rPr>
                <w:rFonts w:ascii="黑体" w:hAnsi="黑体" w:eastAsia="黑体"/>
                <w:b/>
                <w:color w:val="000000"/>
                <w:sz w:val="32"/>
              </w:rPr>
              <w:t>主要指标</w:t>
            </w:r>
          </w:p>
        </w:tc>
        <w:tc>
          <w:tcPr>
            <w:tcW w:type="dxa" w:w="1701"/>
          </w:tcPr>
          <w:p>
            <w:pPr>
              <w:spacing w:lineRule="exact" w:line="600"/>
              <w:jc w:val="center"/>
            </w:pPr>
            <w:r/>
            <w:r>
              <w:rPr>
                <w:rFonts w:ascii="黑体" w:hAnsi="黑体" w:eastAsia="黑体"/>
                <w:b/>
                <w:color w:val="000000"/>
                <w:sz w:val="32"/>
              </w:rPr>
              <w:t>2022年</w:t>
            </w:r>
          </w:p>
        </w:tc>
        <w:tc>
          <w:tcPr>
            <w:tcW w:type="dxa" w:w="1701"/>
          </w:tcPr>
          <w:p>
            <w:pPr>
              <w:spacing w:lineRule="exact" w:line="600"/>
              <w:jc w:val="center"/>
            </w:pPr>
            <w:r/>
            <w:r>
              <w:rPr>
                <w:rFonts w:ascii="黑体" w:hAnsi="黑体" w:eastAsia="黑体"/>
                <w:b/>
                <w:color w:val="000000"/>
                <w:sz w:val="32"/>
              </w:rPr>
              <w:t>2023年</w:t>
            </w:r>
          </w:p>
        </w:tc>
        <w:tc>
          <w:tcPr>
            <w:tcW w:type="dxa" w:w="1701"/>
          </w:tcPr>
          <w:p>
            <w:pPr>
              <w:spacing w:lineRule="exact" w:line="600"/>
              <w:jc w:val="center"/>
            </w:pPr>
            <w:r/>
            <w:r>
              <w:rPr>
                <w:rFonts w:ascii="黑体" w:hAnsi="黑体" w:eastAsia="黑体"/>
                <w:b/>
                <w:color w:val="000000"/>
                <w:sz w:val="32"/>
              </w:rPr>
              <w:t>2024年</w:t>
            </w:r>
          </w:p>
        </w:tc>
      </w:tr>
      <w:tr>
        <w:tc>
          <w:tcPr>
            <w:tcW w:type="dxa" w:w="2608"/>
          </w:tcPr>
          <w:p>
            <w:pPr>
              <w:spacing w:lineRule="exact" w:line="600"/>
              <w:jc w:val="center"/>
            </w:pPr>
            <w:r/>
            <w:r>
              <w:rPr>
                <w:rFonts w:ascii="仿宋_GB2312" w:hAnsi="仿宋_GB2312" w:eastAsia="仿宋_GB2312"/>
                <w:b w:val="0"/>
                <w:color w:val="000000"/>
                <w:sz w:val="32"/>
              </w:rPr>
              <w:t>营业总收入</w:t>
            </w:r>
          </w:p>
        </w:tc>
        <w:tc>
          <w:tcPr>
            <w:tcW w:type="dxa" w:w="1701"/>
          </w:tcPr>
          <w:p>
            <w:pPr>
              <w:spacing w:lineRule="exact" w:line="600"/>
              <w:jc w:val="center"/>
            </w:pPr>
            <w:r/>
            <w:r>
              <w:rPr>
                <w:rFonts w:ascii="仿宋_GB2312" w:hAnsi="仿宋_GB2312" w:eastAsia="仿宋_GB2312"/>
                <w:b w:val="0"/>
                <w:color w:val="000000"/>
                <w:sz w:val="32"/>
              </w:rPr>
              <w:t>74.59</w:t>
            </w:r>
          </w:p>
        </w:tc>
        <w:tc>
          <w:tcPr>
            <w:tcW w:type="dxa" w:w="1701"/>
          </w:tcPr>
          <w:p>
            <w:pPr>
              <w:spacing w:lineRule="exact" w:line="600"/>
              <w:jc w:val="center"/>
            </w:pPr>
            <w:r/>
            <w:r>
              <w:rPr>
                <w:rFonts w:ascii="仿宋_GB2312" w:hAnsi="仿宋_GB2312" w:eastAsia="仿宋_GB2312"/>
                <w:b w:val="0"/>
                <w:color w:val="000000"/>
                <w:sz w:val="32"/>
              </w:rPr>
              <w:t>79.70</w:t>
            </w:r>
          </w:p>
        </w:tc>
        <w:tc>
          <w:tcPr>
            <w:tcW w:type="dxa" w:w="1701"/>
          </w:tcPr>
          <w:p>
            <w:pPr>
              <w:spacing w:lineRule="exact" w:line="600"/>
              <w:jc w:val="center"/>
            </w:pPr>
            <w:r/>
            <w:r>
              <w:rPr>
                <w:rFonts w:ascii="仿宋_GB2312" w:hAnsi="仿宋_GB2312" w:eastAsia="仿宋_GB2312"/>
                <w:b w:val="0"/>
                <w:color w:val="000000"/>
                <w:sz w:val="32"/>
              </w:rPr>
              <w:t>64.52</w:t>
            </w:r>
          </w:p>
        </w:tc>
      </w:tr>
      <w:tr>
        <w:tc>
          <w:tcPr>
            <w:tcW w:type="dxa" w:w="2608"/>
          </w:tcPr>
          <w:p>
            <w:pPr>
              <w:spacing w:lineRule="exact" w:line="600"/>
              <w:jc w:val="center"/>
            </w:pPr>
            <w:r/>
            <w:r>
              <w:rPr>
                <w:rFonts w:ascii="仿宋_GB2312" w:hAnsi="仿宋_GB2312" w:eastAsia="仿宋_GB2312"/>
                <w:b w:val="0"/>
                <w:color w:val="000000"/>
                <w:sz w:val="32"/>
              </w:rPr>
              <w:t>营业收入同比</w:t>
            </w:r>
          </w:p>
        </w:tc>
        <w:tc>
          <w:tcPr>
            <w:tcW w:type="dxa" w:w="1701"/>
          </w:tcPr>
          <w:p>
            <w:pPr>
              <w:spacing w:lineRule="exact" w:line="600"/>
              <w:jc w:val="center"/>
            </w:pPr>
            <w:r/>
            <w:r>
              <w:rPr>
                <w:rFonts w:ascii="仿宋_GB2312" w:hAnsi="仿宋_GB2312" w:eastAsia="仿宋_GB2312"/>
                <w:b w:val="0"/>
                <w:color w:val="000000"/>
                <w:sz w:val="32"/>
              </w:rPr>
              <w:t>—</w:t>
            </w:r>
          </w:p>
        </w:tc>
        <w:tc>
          <w:tcPr>
            <w:tcW w:type="dxa" w:w="1701"/>
          </w:tcPr>
          <w:p>
            <w:pPr>
              <w:spacing w:lineRule="exact" w:line="600"/>
              <w:jc w:val="center"/>
            </w:pPr>
            <w:r/>
            <w:r>
              <w:rPr>
                <w:rFonts w:ascii="仿宋_GB2312" w:hAnsi="仿宋_GB2312" w:eastAsia="仿宋_GB2312"/>
                <w:b w:val="0"/>
                <w:color w:val="000000"/>
                <w:sz w:val="32"/>
              </w:rPr>
              <w:t>+6.88%</w:t>
            </w:r>
          </w:p>
        </w:tc>
        <w:tc>
          <w:tcPr>
            <w:tcW w:type="dxa" w:w="1701"/>
          </w:tcPr>
          <w:p>
            <w:pPr>
              <w:spacing w:lineRule="exact" w:line="600"/>
              <w:jc w:val="center"/>
            </w:pPr>
            <w:r/>
            <w:r>
              <w:rPr>
                <w:rFonts w:ascii="仿宋_GB2312" w:hAnsi="仿宋_GB2312" w:eastAsia="仿宋_GB2312"/>
                <w:b w:val="0"/>
                <w:color w:val="000000"/>
                <w:sz w:val="32"/>
              </w:rPr>
              <w:t>-19.04%</w:t>
            </w:r>
          </w:p>
        </w:tc>
      </w:tr>
      <w:tr>
        <w:tc>
          <w:tcPr>
            <w:tcW w:type="dxa" w:w="2608"/>
          </w:tcPr>
          <w:p>
            <w:pPr>
              <w:spacing w:lineRule="exact" w:line="600"/>
              <w:jc w:val="center"/>
            </w:pPr>
            <w:r/>
            <w:r>
              <w:rPr>
                <w:rFonts w:ascii="仿宋_GB2312" w:hAnsi="仿宋_GB2312" w:eastAsia="仿宋_GB2312"/>
                <w:b w:val="0"/>
                <w:color w:val="000000"/>
                <w:sz w:val="32"/>
              </w:rPr>
              <w:t>归母净利润</w:t>
            </w:r>
          </w:p>
        </w:tc>
        <w:tc>
          <w:tcPr>
            <w:tcW w:type="dxa" w:w="1701"/>
          </w:tcPr>
          <w:p>
            <w:pPr>
              <w:spacing w:lineRule="exact" w:line="600"/>
              <w:jc w:val="center"/>
            </w:pPr>
            <w:r/>
            <w:r>
              <w:rPr>
                <w:rFonts w:ascii="仿宋_GB2312" w:hAnsi="仿宋_GB2312" w:eastAsia="仿宋_GB2312"/>
                <w:b w:val="0"/>
                <w:color w:val="000000"/>
                <w:sz w:val="32"/>
              </w:rPr>
              <w:t>3.56</w:t>
            </w:r>
          </w:p>
        </w:tc>
        <w:tc>
          <w:tcPr>
            <w:tcW w:type="dxa" w:w="1701"/>
          </w:tcPr>
          <w:p>
            <w:pPr>
              <w:spacing w:lineRule="exact" w:line="600"/>
              <w:jc w:val="center"/>
            </w:pPr>
            <w:r/>
            <w:r>
              <w:rPr>
                <w:rFonts w:ascii="仿宋_GB2312" w:hAnsi="仿宋_GB2312" w:eastAsia="仿宋_GB2312"/>
                <w:b w:val="0"/>
                <w:color w:val="000000"/>
                <w:sz w:val="32"/>
              </w:rPr>
              <w:t>4.62</w:t>
            </w:r>
          </w:p>
        </w:tc>
        <w:tc>
          <w:tcPr>
            <w:tcW w:type="dxa" w:w="1701"/>
          </w:tcPr>
          <w:p>
            <w:pPr>
              <w:spacing w:lineRule="exact" w:line="600"/>
              <w:jc w:val="center"/>
            </w:pPr>
            <w:r/>
            <w:r>
              <w:rPr>
                <w:rFonts w:ascii="仿宋_GB2312" w:hAnsi="仿宋_GB2312" w:eastAsia="仿宋_GB2312"/>
                <w:b w:val="0"/>
                <w:color w:val="000000"/>
                <w:sz w:val="32"/>
              </w:rPr>
              <w:t>0.60</w:t>
            </w:r>
          </w:p>
        </w:tc>
      </w:tr>
      <w:tr>
        <w:tc>
          <w:tcPr>
            <w:tcW w:type="dxa" w:w="2608"/>
          </w:tcPr>
          <w:p>
            <w:pPr>
              <w:spacing w:lineRule="exact" w:line="600"/>
              <w:jc w:val="center"/>
            </w:pPr>
            <w:r/>
            <w:r>
              <w:rPr>
                <w:rFonts w:ascii="仿宋_GB2312" w:hAnsi="仿宋_GB2312" w:eastAsia="仿宋_GB2312"/>
                <w:b w:val="0"/>
                <w:color w:val="000000"/>
                <w:sz w:val="32"/>
              </w:rPr>
              <w:t>归母净利润同比</w:t>
            </w:r>
          </w:p>
        </w:tc>
        <w:tc>
          <w:tcPr>
            <w:tcW w:type="dxa" w:w="1701"/>
          </w:tcPr>
          <w:p>
            <w:pPr>
              <w:spacing w:lineRule="exact" w:line="600"/>
              <w:jc w:val="center"/>
            </w:pPr>
            <w:r/>
            <w:r>
              <w:rPr>
                <w:rFonts w:ascii="仿宋_GB2312" w:hAnsi="仿宋_GB2312" w:eastAsia="仿宋_GB2312"/>
                <w:b w:val="0"/>
                <w:color w:val="000000"/>
                <w:sz w:val="32"/>
              </w:rPr>
              <w:t>—</w:t>
            </w:r>
          </w:p>
        </w:tc>
        <w:tc>
          <w:tcPr>
            <w:tcW w:type="dxa" w:w="1701"/>
          </w:tcPr>
          <w:p>
            <w:pPr>
              <w:spacing w:lineRule="exact" w:line="600"/>
              <w:jc w:val="center"/>
            </w:pPr>
            <w:r/>
            <w:r>
              <w:rPr>
                <w:rFonts w:ascii="仿宋_GB2312" w:hAnsi="仿宋_GB2312" w:eastAsia="仿宋_GB2312"/>
                <w:b w:val="0"/>
                <w:color w:val="000000"/>
                <w:sz w:val="32"/>
              </w:rPr>
              <w:t>+29.73%</w:t>
            </w:r>
          </w:p>
        </w:tc>
        <w:tc>
          <w:tcPr>
            <w:tcW w:type="dxa" w:w="1701"/>
          </w:tcPr>
          <w:p>
            <w:pPr>
              <w:spacing w:lineRule="exact" w:line="600"/>
              <w:jc w:val="center"/>
            </w:pPr>
            <w:r/>
            <w:r>
              <w:rPr>
                <w:rFonts w:ascii="仿宋_GB2312" w:hAnsi="仿宋_GB2312" w:eastAsia="仿宋_GB2312"/>
                <w:b w:val="0"/>
                <w:color w:val="000000"/>
                <w:sz w:val="32"/>
              </w:rPr>
              <w:t>-86.90%</w:t>
            </w:r>
          </w:p>
        </w:tc>
      </w:tr>
      <w:tr>
        <w:tc>
          <w:tcPr>
            <w:tcW w:type="dxa" w:w="2608"/>
          </w:tcPr>
          <w:p>
            <w:pPr>
              <w:spacing w:lineRule="exact" w:line="600"/>
              <w:jc w:val="center"/>
            </w:pPr>
            <w:r/>
            <w:r>
              <w:rPr>
                <w:rFonts w:ascii="仿宋_GB2312" w:hAnsi="仿宋_GB2312" w:eastAsia="仿宋_GB2312"/>
                <w:b w:val="0"/>
                <w:color w:val="000000"/>
                <w:sz w:val="32"/>
              </w:rPr>
              <w:t>扣非归母净利润</w:t>
            </w:r>
          </w:p>
        </w:tc>
        <w:tc>
          <w:tcPr>
            <w:tcW w:type="dxa" w:w="1701"/>
          </w:tcPr>
          <w:p>
            <w:pPr>
              <w:spacing w:lineRule="exact" w:line="600"/>
              <w:jc w:val="center"/>
            </w:pPr>
            <w:r/>
            <w:r>
              <w:rPr>
                <w:rFonts w:ascii="仿宋_GB2312" w:hAnsi="仿宋_GB2312" w:eastAsia="仿宋_GB2312"/>
                <w:b w:val="0"/>
                <w:color w:val="000000"/>
                <w:sz w:val="32"/>
              </w:rPr>
              <w:t>3.76</w:t>
            </w:r>
          </w:p>
        </w:tc>
        <w:tc>
          <w:tcPr>
            <w:tcW w:type="dxa" w:w="1701"/>
          </w:tcPr>
          <w:p>
            <w:pPr>
              <w:spacing w:lineRule="exact" w:line="600"/>
              <w:jc w:val="center"/>
            </w:pPr>
            <w:r/>
            <w:r>
              <w:rPr>
                <w:rFonts w:ascii="仿宋_GB2312" w:hAnsi="仿宋_GB2312" w:eastAsia="仿宋_GB2312"/>
                <w:b w:val="0"/>
                <w:color w:val="000000"/>
                <w:sz w:val="32"/>
              </w:rPr>
              <w:t>5.01</w:t>
            </w:r>
          </w:p>
        </w:tc>
        <w:tc>
          <w:tcPr>
            <w:tcW w:type="dxa" w:w="1701"/>
          </w:tcPr>
          <w:p>
            <w:pPr>
              <w:spacing w:lineRule="exact" w:line="600"/>
              <w:jc w:val="center"/>
            </w:pPr>
            <w:r/>
            <w:r>
              <w:rPr>
                <w:rFonts w:ascii="仿宋_GB2312" w:hAnsi="仿宋_GB2312" w:eastAsia="仿宋_GB2312"/>
                <w:b w:val="0"/>
                <w:color w:val="000000"/>
                <w:sz w:val="32"/>
              </w:rPr>
              <w:t>0.35</w:t>
            </w:r>
          </w:p>
        </w:tc>
      </w:tr>
      <w:tr>
        <w:tc>
          <w:tcPr>
            <w:tcW w:type="dxa" w:w="2608"/>
          </w:tcPr>
          <w:p>
            <w:pPr>
              <w:spacing w:lineRule="exact" w:line="600"/>
              <w:jc w:val="center"/>
            </w:pPr>
            <w:r/>
            <w:r>
              <w:rPr>
                <w:rFonts w:ascii="仿宋_GB2312" w:hAnsi="仿宋_GB2312" w:eastAsia="仿宋_GB2312"/>
                <w:b w:val="0"/>
                <w:color w:val="000000"/>
                <w:sz w:val="32"/>
              </w:rPr>
              <w:t>基本每股收益（元）</w:t>
            </w:r>
          </w:p>
        </w:tc>
        <w:tc>
          <w:tcPr>
            <w:tcW w:type="dxa" w:w="1701"/>
          </w:tcPr>
          <w:p>
            <w:pPr>
              <w:spacing w:lineRule="exact" w:line="600"/>
              <w:jc w:val="center"/>
            </w:pPr>
            <w:r/>
            <w:r>
              <w:rPr>
                <w:rFonts w:ascii="仿宋_GB2312" w:hAnsi="仿宋_GB2312" w:eastAsia="仿宋_GB2312"/>
                <w:b w:val="0"/>
                <w:color w:val="000000"/>
                <w:sz w:val="32"/>
              </w:rPr>
              <w:t>0.2501</w:t>
            </w:r>
          </w:p>
        </w:tc>
        <w:tc>
          <w:tcPr>
            <w:tcW w:type="dxa" w:w="1701"/>
          </w:tcPr>
          <w:p>
            <w:pPr>
              <w:spacing w:lineRule="exact" w:line="600"/>
              <w:jc w:val="center"/>
            </w:pPr>
            <w:r/>
            <w:r>
              <w:rPr>
                <w:rFonts w:ascii="仿宋_GB2312" w:hAnsi="仿宋_GB2312" w:eastAsia="仿宋_GB2312"/>
                <w:b w:val="0"/>
                <w:color w:val="000000"/>
                <w:sz w:val="32"/>
              </w:rPr>
              <w:t>0.3258</w:t>
            </w:r>
          </w:p>
        </w:tc>
        <w:tc>
          <w:tcPr>
            <w:tcW w:type="dxa" w:w="1701"/>
          </w:tcPr>
          <w:p>
            <w:pPr>
              <w:spacing w:lineRule="exact" w:line="600"/>
              <w:jc w:val="center"/>
            </w:pPr>
            <w:r/>
            <w:r>
              <w:rPr>
                <w:rFonts w:ascii="仿宋_GB2312" w:hAnsi="仿宋_GB2312" w:eastAsia="仿宋_GB2312"/>
                <w:b w:val="0"/>
                <w:color w:val="000000"/>
                <w:sz w:val="32"/>
              </w:rPr>
              <w:t>0.0427</w:t>
            </w:r>
          </w:p>
        </w:tc>
      </w:tr>
      <w:tr>
        <w:tc>
          <w:tcPr>
            <w:tcW w:type="dxa" w:w="2608"/>
          </w:tcPr>
          <w:p>
            <w:pPr>
              <w:spacing w:lineRule="exact" w:line="600"/>
              <w:jc w:val="center"/>
            </w:pPr>
            <w:r/>
            <w:r>
              <w:rPr>
                <w:rFonts w:ascii="仿宋_GB2312" w:hAnsi="仿宋_GB2312" w:eastAsia="仿宋_GB2312"/>
                <w:b w:val="0"/>
                <w:color w:val="000000"/>
                <w:sz w:val="32"/>
              </w:rPr>
              <w:t>销售毛利率</w:t>
            </w:r>
          </w:p>
        </w:tc>
        <w:tc>
          <w:tcPr>
            <w:tcW w:type="dxa" w:w="1701"/>
          </w:tcPr>
          <w:p>
            <w:pPr>
              <w:spacing w:lineRule="exact" w:line="600"/>
              <w:jc w:val="center"/>
            </w:pPr>
            <w:r/>
            <w:r>
              <w:rPr>
                <w:rFonts w:ascii="仿宋_GB2312" w:hAnsi="仿宋_GB2312" w:eastAsia="仿宋_GB2312"/>
                <w:b w:val="0"/>
                <w:color w:val="000000"/>
                <w:sz w:val="32"/>
              </w:rPr>
              <w:t>16.66%</w:t>
            </w:r>
          </w:p>
        </w:tc>
        <w:tc>
          <w:tcPr>
            <w:tcW w:type="dxa" w:w="1701"/>
          </w:tcPr>
          <w:p>
            <w:pPr>
              <w:spacing w:lineRule="exact" w:line="600"/>
              <w:jc w:val="center"/>
            </w:pPr>
            <w:r/>
            <w:r>
              <w:rPr>
                <w:rFonts w:ascii="仿宋_GB2312" w:hAnsi="仿宋_GB2312" w:eastAsia="仿宋_GB2312"/>
                <w:b w:val="0"/>
                <w:color w:val="000000"/>
                <w:sz w:val="32"/>
              </w:rPr>
              <w:t>18.19%</w:t>
            </w:r>
          </w:p>
        </w:tc>
        <w:tc>
          <w:tcPr>
            <w:tcW w:type="dxa" w:w="1701"/>
          </w:tcPr>
          <w:p>
            <w:pPr>
              <w:spacing w:lineRule="exact" w:line="600"/>
              <w:jc w:val="center"/>
            </w:pPr>
            <w:r/>
            <w:r>
              <w:rPr>
                <w:rFonts w:ascii="仿宋_GB2312" w:hAnsi="仿宋_GB2312" w:eastAsia="仿宋_GB2312"/>
                <w:b w:val="0"/>
                <w:color w:val="000000"/>
                <w:sz w:val="32"/>
              </w:rPr>
              <w:t>13.74%</w:t>
            </w:r>
          </w:p>
        </w:tc>
      </w:tr>
      <w:tr>
        <w:tc>
          <w:tcPr>
            <w:tcW w:type="dxa" w:w="2608"/>
          </w:tcPr>
          <w:p>
            <w:pPr>
              <w:spacing w:lineRule="exact" w:line="600"/>
              <w:jc w:val="center"/>
            </w:pPr>
            <w:r/>
            <w:r>
              <w:rPr>
                <w:rFonts w:ascii="仿宋_GB2312" w:hAnsi="仿宋_GB2312" w:eastAsia="仿宋_GB2312"/>
                <w:b w:val="0"/>
                <w:color w:val="000000"/>
                <w:sz w:val="32"/>
              </w:rPr>
              <w:t>销售净利率</w:t>
            </w:r>
          </w:p>
        </w:tc>
        <w:tc>
          <w:tcPr>
            <w:tcW w:type="dxa" w:w="1701"/>
          </w:tcPr>
          <w:p>
            <w:pPr>
              <w:spacing w:lineRule="exact" w:line="600"/>
              <w:jc w:val="center"/>
            </w:pPr>
            <w:r/>
            <w:r>
              <w:rPr>
                <w:rFonts w:ascii="仿宋_GB2312" w:hAnsi="仿宋_GB2312" w:eastAsia="仿宋_GB2312"/>
                <w:b w:val="0"/>
                <w:color w:val="000000"/>
                <w:sz w:val="32"/>
              </w:rPr>
              <w:t>4.63%</w:t>
            </w:r>
          </w:p>
        </w:tc>
        <w:tc>
          <w:tcPr>
            <w:tcW w:type="dxa" w:w="1701"/>
          </w:tcPr>
          <w:p>
            <w:pPr>
              <w:spacing w:lineRule="exact" w:line="600"/>
              <w:jc w:val="center"/>
            </w:pPr>
            <w:r/>
            <w:r>
              <w:rPr>
                <w:rFonts w:ascii="仿宋_GB2312" w:hAnsi="仿宋_GB2312" w:eastAsia="仿宋_GB2312"/>
                <w:b w:val="0"/>
                <w:color w:val="000000"/>
                <w:sz w:val="32"/>
              </w:rPr>
              <w:t>5.88%</w:t>
            </w:r>
          </w:p>
        </w:tc>
        <w:tc>
          <w:tcPr>
            <w:tcW w:type="dxa" w:w="1701"/>
          </w:tcPr>
          <w:p>
            <w:pPr>
              <w:spacing w:lineRule="exact" w:line="600"/>
              <w:jc w:val="center"/>
            </w:pPr>
            <w:r/>
            <w:r>
              <w:rPr>
                <w:rFonts w:ascii="仿宋_GB2312" w:hAnsi="仿宋_GB2312" w:eastAsia="仿宋_GB2312"/>
                <w:b w:val="0"/>
                <w:color w:val="000000"/>
                <w:sz w:val="32"/>
              </w:rPr>
              <w:t>0.76%</w:t>
            </w:r>
          </w:p>
        </w:tc>
      </w:tr>
      <w:tr>
        <w:tc>
          <w:tcPr>
            <w:tcW w:type="dxa" w:w="2608"/>
          </w:tcPr>
          <w:p>
            <w:pPr>
              <w:spacing w:lineRule="exact" w:line="600"/>
              <w:jc w:val="center"/>
            </w:pPr>
            <w:r/>
            <w:r>
              <w:rPr>
                <w:rFonts w:ascii="仿宋_GB2312" w:hAnsi="仿宋_GB2312" w:eastAsia="仿宋_GB2312"/>
                <w:b w:val="0"/>
                <w:color w:val="000000"/>
                <w:sz w:val="32"/>
              </w:rPr>
              <w:t>加权净资产收益率</w:t>
            </w:r>
          </w:p>
        </w:tc>
        <w:tc>
          <w:tcPr>
            <w:tcW w:type="dxa" w:w="1701"/>
          </w:tcPr>
          <w:p>
            <w:pPr>
              <w:spacing w:lineRule="exact" w:line="600"/>
              <w:jc w:val="center"/>
            </w:pPr>
            <w:r/>
            <w:r>
              <w:rPr>
                <w:rFonts w:ascii="仿宋_GB2312" w:hAnsi="仿宋_GB2312" w:eastAsia="仿宋_GB2312"/>
                <w:b w:val="0"/>
                <w:color w:val="000000"/>
                <w:sz w:val="32"/>
              </w:rPr>
              <w:t>6.52%</w:t>
            </w:r>
          </w:p>
        </w:tc>
        <w:tc>
          <w:tcPr>
            <w:tcW w:type="dxa" w:w="1701"/>
          </w:tcPr>
          <w:p>
            <w:pPr>
              <w:spacing w:lineRule="exact" w:line="600"/>
              <w:jc w:val="center"/>
            </w:pPr>
            <w:r/>
            <w:r>
              <w:rPr>
                <w:rFonts w:ascii="仿宋_GB2312" w:hAnsi="仿宋_GB2312" w:eastAsia="仿宋_GB2312"/>
                <w:b w:val="0"/>
                <w:color w:val="000000"/>
                <w:sz w:val="32"/>
              </w:rPr>
              <w:t>8.23%</w:t>
            </w:r>
          </w:p>
        </w:tc>
        <w:tc>
          <w:tcPr>
            <w:tcW w:type="dxa" w:w="1701"/>
          </w:tcPr>
          <w:p>
            <w:pPr>
              <w:spacing w:lineRule="exact" w:line="600"/>
              <w:jc w:val="center"/>
            </w:pPr>
            <w:r/>
            <w:r>
              <w:rPr>
                <w:rFonts w:ascii="仿宋_GB2312" w:hAnsi="仿宋_GB2312" w:eastAsia="仿宋_GB2312"/>
                <w:b w:val="0"/>
                <w:color w:val="000000"/>
                <w:sz w:val="32"/>
              </w:rPr>
              <w:t>1.03%</w:t>
            </w:r>
          </w:p>
        </w:tc>
      </w:tr>
      <w:tr>
        <w:tc>
          <w:tcPr>
            <w:tcW w:type="dxa" w:w="2608"/>
          </w:tcPr>
          <w:p>
            <w:pPr>
              <w:spacing w:lineRule="exact" w:line="600"/>
              <w:jc w:val="center"/>
            </w:pPr>
            <w:r/>
            <w:r>
              <w:rPr>
                <w:rFonts w:ascii="仿宋_GB2312" w:hAnsi="仿宋_GB2312" w:eastAsia="仿宋_GB2312"/>
                <w:b w:val="0"/>
                <w:color w:val="000000"/>
                <w:sz w:val="32"/>
              </w:rPr>
              <w:t>经营活动现金流量净额</w:t>
            </w:r>
          </w:p>
        </w:tc>
        <w:tc>
          <w:tcPr>
            <w:tcW w:type="dxa" w:w="1701"/>
          </w:tcPr>
          <w:p>
            <w:pPr>
              <w:spacing w:lineRule="exact" w:line="600"/>
              <w:jc w:val="center"/>
            </w:pPr>
            <w:r/>
            <w:r>
              <w:rPr>
                <w:rFonts w:ascii="仿宋_GB2312" w:hAnsi="仿宋_GB2312" w:eastAsia="仿宋_GB2312"/>
                <w:b w:val="0"/>
                <w:color w:val="000000"/>
                <w:sz w:val="32"/>
              </w:rPr>
              <w:t>9.67</w:t>
            </w:r>
          </w:p>
        </w:tc>
        <w:tc>
          <w:tcPr>
            <w:tcW w:type="dxa" w:w="1701"/>
          </w:tcPr>
          <w:p>
            <w:pPr>
              <w:spacing w:lineRule="exact" w:line="600"/>
              <w:jc w:val="center"/>
            </w:pPr>
            <w:r/>
            <w:r>
              <w:rPr>
                <w:rFonts w:ascii="仿宋_GB2312" w:hAnsi="仿宋_GB2312" w:eastAsia="仿宋_GB2312"/>
                <w:b w:val="0"/>
                <w:color w:val="000000"/>
                <w:sz w:val="32"/>
              </w:rPr>
              <w:t>7.04</w:t>
            </w:r>
          </w:p>
        </w:tc>
        <w:tc>
          <w:tcPr>
            <w:tcW w:type="dxa" w:w="1701"/>
          </w:tcPr>
          <w:p>
            <w:pPr>
              <w:spacing w:lineRule="exact" w:line="600"/>
              <w:jc w:val="center"/>
            </w:pPr>
            <w:r/>
            <w:r>
              <w:rPr>
                <w:rFonts w:ascii="仿宋_GB2312" w:hAnsi="仿宋_GB2312" w:eastAsia="仿宋_GB2312"/>
                <w:b w:val="0"/>
                <w:color w:val="000000"/>
                <w:sz w:val="32"/>
              </w:rPr>
              <w:t>6.25</w:t>
            </w:r>
          </w:p>
        </w:tc>
      </w:tr>
      <w:tr>
        <w:tc>
          <w:tcPr>
            <w:tcW w:type="dxa" w:w="2608"/>
          </w:tcPr>
          <w:p>
            <w:pPr>
              <w:spacing w:lineRule="exact" w:line="600"/>
              <w:jc w:val="center"/>
            </w:pPr>
            <w:r/>
            <w:r>
              <w:rPr>
                <w:rFonts w:ascii="仿宋_GB2312" w:hAnsi="仿宋_GB2312" w:eastAsia="仿宋_GB2312"/>
                <w:b w:val="0"/>
                <w:color w:val="000000"/>
                <w:sz w:val="32"/>
              </w:rPr>
              <w:t>总资产</w:t>
            </w:r>
          </w:p>
        </w:tc>
        <w:tc>
          <w:tcPr>
            <w:tcW w:type="dxa" w:w="1701"/>
          </w:tcPr>
          <w:p>
            <w:pPr>
              <w:spacing w:lineRule="exact" w:line="600"/>
              <w:jc w:val="center"/>
            </w:pPr>
            <w:r/>
            <w:r>
              <w:rPr>
                <w:rFonts w:ascii="仿宋_GB2312" w:hAnsi="仿宋_GB2312" w:eastAsia="仿宋_GB2312"/>
                <w:b w:val="0"/>
                <w:color w:val="000000"/>
                <w:sz w:val="32"/>
              </w:rPr>
              <w:t>114.61</w:t>
            </w:r>
          </w:p>
        </w:tc>
        <w:tc>
          <w:tcPr>
            <w:tcW w:type="dxa" w:w="1701"/>
          </w:tcPr>
          <w:p>
            <w:pPr>
              <w:spacing w:lineRule="exact" w:line="600"/>
              <w:jc w:val="center"/>
            </w:pPr>
            <w:r/>
            <w:r>
              <w:rPr>
                <w:rFonts w:ascii="仿宋_GB2312" w:hAnsi="仿宋_GB2312" w:eastAsia="仿宋_GB2312"/>
                <w:b w:val="0"/>
                <w:color w:val="000000"/>
                <w:sz w:val="32"/>
              </w:rPr>
              <w:t>114.09</w:t>
            </w:r>
          </w:p>
        </w:tc>
        <w:tc>
          <w:tcPr>
            <w:tcW w:type="dxa" w:w="1701"/>
          </w:tcPr>
          <w:p>
            <w:pPr>
              <w:spacing w:lineRule="exact" w:line="600"/>
              <w:jc w:val="center"/>
            </w:pPr>
            <w:r/>
            <w:r>
              <w:rPr>
                <w:rFonts w:ascii="仿宋_GB2312" w:hAnsi="仿宋_GB2312" w:eastAsia="仿宋_GB2312"/>
                <w:b w:val="0"/>
                <w:color w:val="000000"/>
                <w:sz w:val="32"/>
              </w:rPr>
              <w:t>104.06</w:t>
            </w:r>
          </w:p>
        </w:tc>
      </w:tr>
      <w:tr>
        <w:tc>
          <w:tcPr>
            <w:tcW w:type="dxa" w:w="2608"/>
          </w:tcPr>
          <w:p>
            <w:pPr>
              <w:spacing w:lineRule="exact" w:line="600"/>
              <w:jc w:val="center"/>
            </w:pPr>
            <w:r/>
            <w:r>
              <w:rPr>
                <w:rFonts w:ascii="仿宋_GB2312" w:hAnsi="仿宋_GB2312" w:eastAsia="仿宋_GB2312"/>
                <w:b w:val="0"/>
                <w:color w:val="000000"/>
                <w:sz w:val="32"/>
              </w:rPr>
              <w:t>归母净资产</w:t>
            </w:r>
          </w:p>
        </w:tc>
        <w:tc>
          <w:tcPr>
            <w:tcW w:type="dxa" w:w="1701"/>
          </w:tcPr>
          <w:p>
            <w:pPr>
              <w:spacing w:lineRule="exact" w:line="600"/>
              <w:jc w:val="center"/>
            </w:pPr>
            <w:r/>
            <w:r>
              <w:rPr>
                <w:rFonts w:ascii="仿宋_GB2312" w:hAnsi="仿宋_GB2312" w:eastAsia="仿宋_GB2312"/>
                <w:b w:val="0"/>
                <w:color w:val="000000"/>
                <w:sz w:val="32"/>
              </w:rPr>
              <w:t>53.78</w:t>
            </w:r>
          </w:p>
        </w:tc>
        <w:tc>
          <w:tcPr>
            <w:tcW w:type="dxa" w:w="1701"/>
          </w:tcPr>
          <w:p>
            <w:pPr>
              <w:spacing w:lineRule="exact" w:line="600"/>
              <w:jc w:val="center"/>
            </w:pPr>
            <w:r/>
            <w:r>
              <w:rPr>
                <w:rFonts w:ascii="仿宋_GB2312" w:hAnsi="仿宋_GB2312" w:eastAsia="仿宋_GB2312"/>
                <w:b w:val="0"/>
                <w:color w:val="000000"/>
                <w:sz w:val="32"/>
              </w:rPr>
              <w:t>58.41</w:t>
            </w:r>
          </w:p>
        </w:tc>
        <w:tc>
          <w:tcPr>
            <w:tcW w:type="dxa" w:w="1701"/>
          </w:tcPr>
          <w:p>
            <w:pPr>
              <w:spacing w:lineRule="exact" w:line="600"/>
              <w:jc w:val="center"/>
            </w:pPr>
            <w:r/>
            <w:r>
              <w:rPr>
                <w:rFonts w:ascii="仿宋_GB2312" w:hAnsi="仿宋_GB2312" w:eastAsia="仿宋_GB2312"/>
                <w:b w:val="0"/>
                <w:color w:val="000000"/>
                <w:sz w:val="32"/>
              </w:rPr>
              <w:t>58.25</w:t>
            </w:r>
          </w:p>
        </w:tc>
      </w:tr>
    </w:tbl>
    <w:p>
      <w:pPr>
        <w:spacing w:lineRule="exact" w:line="600" w:before="0" w:after="0"/>
        <w:ind w:firstLine="420"/>
        <w:jc w:val="both"/>
      </w:pPr>
      <w:r>
        <w:rPr>
          <w:rFonts w:ascii="仿宋_GB2312" w:hAnsi="仿宋_GB2312" w:eastAsia="仿宋_GB2312"/>
          <w:b w:val="0"/>
          <w:color w:val="000000"/>
          <w:sz w:val="32"/>
        </w:rPr>
        <w:t>2026年一季度，公司营业收入9.14亿元、归母净利润-1.56亿元、加权ROE为-3.04%，受行业景气下行与玻璃价格低迷影响出现阶段性亏损。2025年1—9月公司营业收入34.61亿元，TCO玻璃市场拓展持续推进。</w:t>
      </w:r>
    </w:p>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公司盈利呈现明显波动：2022—2023年归母净利润由3.56亿元增至4.62亿元，盈利向好；2024年骤降至6047.62万元（同比-86.90%），扣非净利润仅3536.15万元（同比-92.94%），主要系玻璃行业景气度下行、产品价差收窄、毛利率由18.19%降至13.74%所致。</w:t>
      </w:r>
    </w:p>
    <w:p>
      <w:pPr>
        <w:spacing w:lineRule="exact" w:line="600" w:before="0" w:after="0"/>
        <w:ind w:firstLine="420"/>
        <w:jc w:val="both"/>
      </w:pPr>
      <w:r>
        <w:rPr>
          <w:rFonts w:ascii="仿宋_GB2312" w:hAnsi="仿宋_GB2312" w:eastAsia="仿宋_GB2312"/>
          <w:b w:val="0"/>
          <w:color w:val="000000"/>
          <w:sz w:val="32"/>
        </w:rPr>
        <w:t>2026年一季度公司出现净亏损1.56亿元，反映行业供需失衡、浮法玻璃与光伏玻璃价格疲弱对盈利的拖累。TCO玻璃作为高附加值品类，是公司对抗周期、改善盈利结构的关键，但其当前收入占比尚不足以抵消传统业务下滑。</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截至2024年末，公司总资产104.06亿元，归母净资产58.25亿元，资产规模稳健。固定资产占总资产比重较高（重资产特征），2024年在建工程较上年末减少82.87%（前期项目陆续转固）。存货账面价值9.26亿元，存货跌价准备计提比例6.75%，减值计提相对审慎。</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2024年末公司流动比率0.90、速动比率0.66，短期偿债指标偏弱，反映玻璃行业重资产、周转较慢的特征。应付票据及应付账款较上年末减少22.2%，短期借款减少14.55%，长期借款减少25.43%，债务结构有所优化但仍需关注流动性。</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经营活动现金流近三年持续为正但逐步下降（9.67亿→7.04亿→6.25亿元）；投资活动现金流持续净流出（2024年-3.92亿元），反映产能技改与扩张投入；筹资活动现金流2024年为-1.62亿元。整体看，公司经营造血能力尚可但趋弱，扩张依赖存量现金与适度融资。</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与玻璃玻纤行业对标，公司2026年一季度每股收益-0.11元（行业均值0.0331元）、ROE-3.04%（行业均值0.56%），阶段性明显弱于行业平均，主要受行业景气底部与公司利润下滑叠加影响。但公司在超白玻璃、TCO玻璃的细分赛道地位（国内龙头、国产替代核心）显著优于行业平均，具备差异化竞争优势。</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公司为上市公司，建立规范的"股东大会—董事会—监事会—经理层"治理架构，设独立董事、董事会秘书与专门委员会，定期报告经大信会计师事务所审计。实际控制人为王刚，通过山东金晶节能玻璃有限公司控股，股权相对集中但非绝对控股。</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公司法定代表人为王刚（董事长），核心管理团队在玻璃行业深耕多年。管理层注重技术研发与产业升级，推动公司由传统浮法玻璃向超白、TCO、节能玻璃等高端品类转型。</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公司作为上市公司，内控体系规范，财务报告经审计并出具标准无保留/无保留意见（视年度），信息披露合规。滕州基地作为生产主体，执行独立排污许可、安全生产管理，合规体系完整。</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公司员工规模较大（集团数千人），研发与技术人员支撑超白、TCO等高端产品迭代。滕州基地设有新材料检测中心，体现技术人才投入。作为枣庄/淄博地区骨干制造企业，公司是地方就业与产业人才的重要承载。</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一是TCO玻璃技术壁垒。公司是国内少数掌握TCO玻璃全链条技术并实现量产的企业，打破日本垄断，配套钙钛矿电池龙头，占国内绝大部分份额，技术壁垒与国产替代价值突出。</w:t>
      </w:r>
    </w:p>
    <w:p>
      <w:pPr>
        <w:spacing w:lineRule="exact" w:line="600" w:before="0" w:after="0"/>
        <w:ind w:firstLine="420"/>
        <w:jc w:val="both"/>
      </w:pPr>
      <w:r>
        <w:rPr>
          <w:rFonts w:ascii="仿宋_GB2312" w:hAnsi="仿宋_GB2312" w:eastAsia="仿宋_GB2312"/>
          <w:b w:val="0"/>
          <w:color w:val="000000"/>
          <w:sz w:val="32"/>
        </w:rPr>
        <w:t>二是超白玻璃龙头地位。5号超白线为中国首条超白线，品牌与品质国内领先，在高端幕墙、地标建筑领域具备强客户认知。</w:t>
      </w:r>
    </w:p>
    <w:p>
      <w:pPr>
        <w:spacing w:lineRule="exact" w:line="600" w:before="0" w:after="0"/>
        <w:ind w:firstLine="420"/>
        <w:jc w:val="both"/>
      </w:pPr>
      <w:r>
        <w:rPr>
          <w:rFonts w:ascii="仿宋_GB2312" w:hAnsi="仿宋_GB2312" w:eastAsia="仿宋_GB2312"/>
          <w:b w:val="0"/>
          <w:color w:val="000000"/>
          <w:sz w:val="32"/>
        </w:rPr>
        <w:t>三是双基地与纵向一体化。淄博+滕州双TCO产线、纯碱/砂岩原料一体化，保障供应与成本可控。</w:t>
      </w:r>
    </w:p>
    <w:p>
      <w:pPr>
        <w:spacing w:lineRule="exact" w:line="600" w:before="0" w:after="0"/>
        <w:ind w:firstLine="420"/>
        <w:jc w:val="both"/>
      </w:pPr>
      <w:r>
        <w:rPr>
          <w:rFonts w:ascii="仿宋_GB2312" w:hAnsi="仿宋_GB2312" w:eastAsia="仿宋_GB2312"/>
          <w:b w:val="0"/>
          <w:color w:val="000000"/>
          <w:sz w:val="32"/>
        </w:rPr>
        <w:t>四是资本平台与品牌。作为上市多年的玻璃龙头，具备直接融资能力与品牌背书，利于产能扩张与产业并购。</w:t>
      </w:r>
    </w:p>
    <w:p>
      <w:pPr>
        <w:spacing w:lineRule="exact" w:line="600" w:before="0" w:after="0"/>
        <w:ind w:firstLine="420"/>
        <w:jc w:val="both"/>
      </w:pPr>
      <w:r>
        <w:rPr>
          <w:rFonts w:ascii="仿宋_GB2312" w:hAnsi="仿宋_GB2312" w:eastAsia="仿宋_GB2312"/>
          <w:b w:val="0"/>
          <w:color w:val="000000"/>
          <w:sz w:val="32"/>
        </w:rPr>
        <w:t>五是研发与专利积累。近二十年TCO研发投入，攻克镀膜均匀性、高导电高迁移率等难题，拥有完整自主知识产权。</w:t>
      </w:r>
    </w:p>
    <w:p>
      <w:pPr>
        <w:spacing w:lineRule="exact" w:line="600" w:before="120" w:after="120"/>
        <w:ind w:firstLine="420"/>
        <w:jc w:val="left"/>
      </w:pPr>
      <w:r>
        <w:rPr>
          <w:rFonts w:ascii="黑体" w:hAnsi="黑体" w:eastAsia="黑体"/>
          <w:b w:val="0"/>
          <w:color w:val="000000"/>
          <w:sz w:val="32"/>
        </w:rPr>
        <w:t>六、风险分析（重点）</w:t>
      </w:r>
    </w:p>
    <w:p>
      <w:pPr>
        <w:spacing w:lineRule="exact" w:line="600" w:before="120" w:after="120"/>
        <w:ind w:firstLine="420"/>
        <w:jc w:val="left"/>
      </w:pPr>
      <w:r>
        <w:rPr>
          <w:rFonts w:ascii="楷体_GB2312" w:hAnsi="楷体_GB2312" w:eastAsia="楷体_GB2312"/>
          <w:b w:val="0"/>
          <w:color w:val="000000"/>
          <w:sz w:val="32"/>
        </w:rPr>
        <w:t>（一）行业风险</w:t>
      </w:r>
    </w:p>
    <w:p>
      <w:pPr>
        <w:spacing w:lineRule="exact" w:line="600" w:before="0" w:after="0"/>
        <w:ind w:firstLine="420"/>
        <w:jc w:val="both"/>
      </w:pPr>
      <w:r>
        <w:rPr>
          <w:rFonts w:ascii="仿宋_GB2312" w:hAnsi="仿宋_GB2312" w:eastAsia="仿宋_GB2312"/>
          <w:b w:val="0"/>
          <w:color w:val="000000"/>
          <w:sz w:val="32"/>
        </w:rPr>
        <w:t>第一，玻璃行业周期下行风险。浮法玻璃、光伏玻璃产能阶段性过剩、价格低迷，直接拖累公司盈利（2024年净利骤降、2026Q1亏损）。</w:t>
      </w:r>
    </w:p>
    <w:p>
      <w:pPr>
        <w:spacing w:lineRule="exact" w:line="600" w:before="0" w:after="0"/>
        <w:ind w:firstLine="420"/>
        <w:jc w:val="both"/>
      </w:pPr>
      <w:r>
        <w:rPr>
          <w:rFonts w:ascii="仿宋_GB2312" w:hAnsi="仿宋_GB2312" w:eastAsia="仿宋_GB2312"/>
          <w:b w:val="0"/>
          <w:color w:val="000000"/>
          <w:sz w:val="32"/>
        </w:rPr>
        <w:t>第二，钙钛矿产业化不及预期风险。TCO玻璃需求高度依赖钙钛矿电池商业化进度，若产业化放缓，高附加值业务放量将受影响。</w:t>
      </w:r>
    </w:p>
    <w:p>
      <w:pPr>
        <w:spacing w:lineRule="exact" w:line="600" w:before="120" w:after="120"/>
        <w:ind w:firstLine="420"/>
        <w:jc w:val="left"/>
      </w:pPr>
      <w:r>
        <w:rPr>
          <w:rFonts w:ascii="楷体_GB2312" w:hAnsi="楷体_GB2312" w:eastAsia="楷体_GB2312"/>
          <w:b w:val="0"/>
          <w:color w:val="000000"/>
          <w:sz w:val="32"/>
        </w:rPr>
        <w:t>（二）经营风险</w:t>
      </w:r>
    </w:p>
    <w:p>
      <w:pPr>
        <w:spacing w:lineRule="exact" w:line="600" w:before="0" w:after="0"/>
        <w:ind w:firstLine="420"/>
        <w:jc w:val="both"/>
      </w:pPr>
      <w:r>
        <w:rPr>
          <w:rFonts w:ascii="仿宋_GB2312" w:hAnsi="仿宋_GB2312" w:eastAsia="仿宋_GB2312"/>
          <w:b w:val="0"/>
          <w:color w:val="000000"/>
          <w:sz w:val="32"/>
        </w:rPr>
        <w:t>第一，盈利波动风险。近三年净利由3.56亿降至0.60亿，波动极大，抗周期能力偏弱。</w:t>
      </w:r>
    </w:p>
    <w:p>
      <w:pPr>
        <w:spacing w:lineRule="exact" w:line="600" w:before="0" w:after="0"/>
        <w:ind w:firstLine="420"/>
        <w:jc w:val="both"/>
      </w:pPr>
      <w:r>
        <w:rPr>
          <w:rFonts w:ascii="仿宋_GB2312" w:hAnsi="仿宋_GB2312" w:eastAsia="仿宋_GB2312"/>
          <w:b w:val="0"/>
          <w:color w:val="000000"/>
          <w:sz w:val="32"/>
        </w:rPr>
        <w:t>第二，产能过剩与价格战风险。光伏玻璃行业扩产迅速，若供需失衡持续，价格战将压制毛利率。</w:t>
      </w:r>
    </w:p>
    <w:p>
      <w:pPr>
        <w:spacing w:lineRule="exact" w:line="600" w:before="120" w:after="120"/>
        <w:ind w:firstLine="420"/>
        <w:jc w:val="left"/>
      </w:pPr>
      <w:r>
        <w:rPr>
          <w:rFonts w:ascii="楷体_GB2312" w:hAnsi="楷体_GB2312" w:eastAsia="楷体_GB2312"/>
          <w:b w:val="0"/>
          <w:color w:val="000000"/>
          <w:sz w:val="32"/>
        </w:rPr>
        <w:t>（三）财务风险</w:t>
      </w:r>
    </w:p>
    <w:p>
      <w:pPr>
        <w:spacing w:lineRule="exact" w:line="600" w:before="0" w:after="0"/>
        <w:ind w:firstLine="420"/>
        <w:jc w:val="both"/>
      </w:pPr>
      <w:r>
        <w:rPr>
          <w:rFonts w:ascii="仿宋_GB2312" w:hAnsi="仿宋_GB2312" w:eastAsia="仿宋_GB2312"/>
          <w:b w:val="0"/>
          <w:color w:val="000000"/>
          <w:sz w:val="32"/>
        </w:rPr>
        <w:t>第一，短期偿债指标偏弱（流动比率0.90、速动比率0.66），流动性需关注。</w:t>
      </w:r>
    </w:p>
    <w:p>
      <w:pPr>
        <w:spacing w:lineRule="exact" w:line="600" w:before="0" w:after="0"/>
        <w:ind w:firstLine="420"/>
        <w:jc w:val="both"/>
      </w:pPr>
      <w:r>
        <w:rPr>
          <w:rFonts w:ascii="仿宋_GB2312" w:hAnsi="仿宋_GB2312" w:eastAsia="仿宋_GB2312"/>
          <w:b w:val="0"/>
          <w:color w:val="000000"/>
          <w:sz w:val="32"/>
        </w:rPr>
        <w:t>第二，股东高比例质押风险。第一大股东质押37.67%持股、公司约12%股份质押，提示控股股东流动性风险。</w:t>
      </w:r>
    </w:p>
    <w:p>
      <w:pPr>
        <w:spacing w:lineRule="exact" w:line="600" w:before="0" w:after="0"/>
        <w:ind w:firstLine="420"/>
        <w:jc w:val="both"/>
      </w:pPr>
      <w:r>
        <w:rPr>
          <w:rFonts w:ascii="仿宋_GB2312" w:hAnsi="仿宋_GB2312" w:eastAsia="仿宋_GB2312"/>
          <w:b w:val="0"/>
          <w:color w:val="000000"/>
          <w:sz w:val="32"/>
        </w:rPr>
        <w:t>第三，2026Q1亏损、ROE为负，若行业持续低迷将侵蚀净资产。</w:t>
      </w:r>
    </w:p>
    <w:p>
      <w:pPr>
        <w:spacing w:lineRule="exact" w:line="600" w:before="120" w:after="120"/>
        <w:ind w:firstLine="420"/>
        <w:jc w:val="left"/>
      </w:pPr>
      <w:r>
        <w:rPr>
          <w:rFonts w:ascii="楷体_GB2312" w:hAnsi="楷体_GB2312" w:eastAsia="楷体_GB2312"/>
          <w:b w:val="0"/>
          <w:color w:val="000000"/>
          <w:sz w:val="32"/>
        </w:rPr>
        <w:t>（四）合规与法律风险</w:t>
      </w:r>
    </w:p>
    <w:p>
      <w:pPr>
        <w:spacing w:lineRule="exact" w:line="600" w:before="0" w:after="0"/>
        <w:ind w:firstLine="420"/>
        <w:jc w:val="both"/>
      </w:pPr>
      <w:r>
        <w:rPr>
          <w:rFonts w:ascii="仿宋_GB2312" w:hAnsi="仿宋_GB2312" w:eastAsia="仿宋_GB2312"/>
          <w:b w:val="0"/>
          <w:color w:val="000000"/>
          <w:sz w:val="32"/>
        </w:rPr>
        <w:t>公司为重点环保监管企业，排污许可、安全生产合规为实质性风险点；公开渠道显示公司存在一定数量买卖合同等纠纷，授信前建议核查。</w:t>
      </w:r>
    </w:p>
    <w:p>
      <w:pPr>
        <w:spacing w:lineRule="exact" w:line="600" w:before="120" w:after="120"/>
        <w:ind w:firstLine="420"/>
        <w:jc w:val="left"/>
      </w:pPr>
      <w:r>
        <w:rPr>
          <w:rFonts w:ascii="楷体_GB2312" w:hAnsi="楷体_GB2312" w:eastAsia="楷体_GB2312"/>
          <w:b w:val="0"/>
          <w:color w:val="000000"/>
          <w:sz w:val="32"/>
        </w:rPr>
        <w:t>（五）管理风险</w:t>
      </w:r>
    </w:p>
    <w:p>
      <w:pPr>
        <w:spacing w:lineRule="exact" w:line="600" w:before="0" w:after="0"/>
        <w:ind w:firstLine="420"/>
        <w:jc w:val="both"/>
      </w:pPr>
      <w:r>
        <w:rPr>
          <w:rFonts w:ascii="仿宋_GB2312" w:hAnsi="仿宋_GB2312" w:eastAsia="仿宋_GB2312"/>
          <w:b w:val="0"/>
          <w:color w:val="000000"/>
          <w:sz w:val="32"/>
        </w:rPr>
        <w:t>实际控制人王刚通过一致行动关系控股，存在决策集中风险；控股股东高比例质押亦带来治理层面的潜在不稳定。</w:t>
      </w:r>
    </w:p>
    <w:p>
      <w:pPr>
        <w:spacing w:lineRule="exact" w:line="600" w:before="120" w:after="120"/>
        <w:ind w:firstLine="420"/>
        <w:jc w:val="left"/>
      </w:pPr>
      <w:r>
        <w:rPr>
          <w:rFonts w:ascii="楷体_GB2312" w:hAnsi="楷体_GB2312" w:eastAsia="楷体_GB2312"/>
          <w:b w:val="0"/>
          <w:color w:val="000000"/>
          <w:sz w:val="32"/>
        </w:rPr>
        <w:t>（六）现有应对措施</w:t>
      </w:r>
    </w:p>
    <w:p>
      <w:pPr>
        <w:spacing w:lineRule="exact" w:line="600" w:before="0" w:after="0"/>
        <w:ind w:firstLine="420"/>
        <w:jc w:val="both"/>
      </w:pPr>
      <w:r>
        <w:rPr>
          <w:rFonts w:ascii="仿宋_GB2312" w:hAnsi="仿宋_GB2312" w:eastAsia="仿宋_GB2312"/>
          <w:b w:val="0"/>
          <w:color w:val="000000"/>
          <w:sz w:val="32"/>
        </w:rPr>
        <w:t>公司应对措施包括：一是聚焦TCO玻璃等高端品类，抢占钙钛矿国产替代窗口；二是推进产线冷修技改降本提质；三是以1亿—2亿元回购股份维护投资者信心；四是优化债务结构、控制资本开支节奏。</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120" w:after="120"/>
        <w:ind w:firstLine="420"/>
        <w:jc w:val="left"/>
      </w:pPr>
      <w:r>
        <w:rPr>
          <w:rFonts w:ascii="楷体_GB2312" w:hAnsi="楷体_GB2312" w:eastAsia="楷体_GB2312"/>
          <w:b w:val="0"/>
          <w:color w:val="000000"/>
          <w:sz w:val="32"/>
        </w:rPr>
        <w:t>（一）融资需求总体判断</w:t>
      </w:r>
    </w:p>
    <w:p>
      <w:pPr>
        <w:spacing w:lineRule="exact" w:line="600" w:before="0" w:after="0"/>
        <w:ind w:firstLine="420"/>
        <w:jc w:val="both"/>
      </w:pPr>
      <w:r>
        <w:rPr>
          <w:rFonts w:ascii="仿宋_GB2312" w:hAnsi="仿宋_GB2312" w:eastAsia="仿宋_GB2312"/>
          <w:b w:val="0"/>
          <w:color w:val="000000"/>
          <w:sz w:val="32"/>
        </w:rPr>
        <w:t>金晶科技为上市企业，融资渠道多元（定增、可转债、银行授信），但短期偿债指标偏弱、2026Q1亏损、行业景气底部，存在阶段性流动性与设备升级资金需求。滕州基地的TCO产线技改与产能释放是主要资金投向，山东投资可围绕设备融资与产业链金融切入。</w:t>
      </w:r>
    </w:p>
    <w:p>
      <w:pPr>
        <w:spacing w:lineRule="exact" w:line="600" w:before="120" w:after="120"/>
        <w:ind w:firstLine="420"/>
        <w:jc w:val="left"/>
      </w:pPr>
      <w:r>
        <w:rPr>
          <w:rFonts w:ascii="楷体_GB2312" w:hAnsi="楷体_GB2312" w:eastAsia="楷体_GB2312"/>
          <w:b w:val="0"/>
          <w:color w:val="000000"/>
          <w:sz w:val="32"/>
        </w:rPr>
        <w:t>（二）保理业务</w:t>
      </w:r>
    </w:p>
    <w:p>
      <w:pPr>
        <w:spacing w:lineRule="exact" w:line="600" w:before="0" w:after="0"/>
        <w:ind w:firstLine="420"/>
        <w:jc w:val="both"/>
      </w:pPr>
      <w:r>
        <w:rPr>
          <w:rFonts w:ascii="仿宋_GB2312" w:hAnsi="仿宋_GB2312" w:eastAsia="仿宋_GB2312"/>
          <w:b w:val="0"/>
          <w:color w:val="000000"/>
          <w:sz w:val="32"/>
        </w:rPr>
        <w:t>公司下游客户含钙钛矿电池龙头与工程客户，形成一定应收账款，可开展国内保理；出口业务可联合中国信保开展出口保理。但需关注客户信用与账期质量。</w:t>
      </w:r>
    </w:p>
    <w:p>
      <w:pPr>
        <w:spacing w:lineRule="exact" w:line="600" w:before="120" w:after="120"/>
        <w:ind w:firstLine="420"/>
        <w:jc w:val="left"/>
      </w:pPr>
      <w:r>
        <w:rPr>
          <w:rFonts w:ascii="楷体_GB2312" w:hAnsi="楷体_GB2312" w:eastAsia="楷体_GB2312"/>
          <w:b w:val="0"/>
          <w:color w:val="000000"/>
          <w:sz w:val="32"/>
        </w:rPr>
        <w:t>（三）供应链金融</w:t>
      </w:r>
    </w:p>
    <w:p>
      <w:pPr>
        <w:spacing w:lineRule="exact" w:line="600" w:before="0" w:after="0"/>
        <w:ind w:firstLine="420"/>
        <w:jc w:val="both"/>
      </w:pPr>
      <w:r>
        <w:rPr>
          <w:rFonts w:ascii="仿宋_GB2312" w:hAnsi="仿宋_GB2312" w:eastAsia="仿宋_GB2312"/>
          <w:b w:val="0"/>
          <w:color w:val="000000"/>
          <w:sz w:val="32"/>
        </w:rPr>
        <w:t>向上游，公司年采购纯碱、石英砂等原料规模大，可为上游供应商提供采购端融资与应收账款确权；向下游，以TCO玻璃为核心，为钙钛矿电池产业链中小客户提供基于真实交易的采购融资，协同价值较高。</w:t>
      </w:r>
    </w:p>
    <w:p>
      <w:pPr>
        <w:spacing w:lineRule="exact" w:line="600" w:before="120" w:after="120"/>
        <w:ind w:firstLine="420"/>
        <w:jc w:val="left"/>
      </w:pPr>
      <w:r>
        <w:rPr>
          <w:rFonts w:ascii="楷体_GB2312" w:hAnsi="楷体_GB2312" w:eastAsia="楷体_GB2312"/>
          <w:b w:val="0"/>
          <w:color w:val="000000"/>
          <w:sz w:val="32"/>
        </w:rPr>
        <w:t>（四）融资租赁</w:t>
      </w:r>
    </w:p>
    <w:p>
      <w:pPr>
        <w:spacing w:lineRule="exact" w:line="600" w:before="0" w:after="0"/>
        <w:ind w:firstLine="420"/>
        <w:jc w:val="both"/>
      </w:pPr>
      <w:r>
        <w:rPr>
          <w:rFonts w:ascii="仿宋_GB2312" w:hAnsi="仿宋_GB2312" w:eastAsia="仿宋_GB2312"/>
          <w:b w:val="0"/>
          <w:color w:val="000000"/>
          <w:sz w:val="32"/>
        </w:rPr>
        <w:t>融资租赁契合TCO产线技改与设备升级需求：宁夏金晶4.95亿元TCO技改、5号超白线冷修等装置单值高，可通过直接租赁缓解资本开支压力；存量玻璃产线可通过售后回租盘活。承租人为上市公司、信息透明，风险相对可控。</w:t>
      </w:r>
    </w:p>
    <w:p>
      <w:pPr>
        <w:spacing w:lineRule="exact" w:line="600" w:before="120" w:after="120"/>
        <w:ind w:firstLine="420"/>
        <w:jc w:val="left"/>
      </w:pPr>
      <w:r>
        <w:rPr>
          <w:rFonts w:ascii="楷体_GB2312" w:hAnsi="楷体_GB2312" w:eastAsia="楷体_GB2312"/>
          <w:b w:val="0"/>
          <w:color w:val="000000"/>
          <w:sz w:val="32"/>
        </w:rPr>
        <w:t>（五）小额贷款</w:t>
      </w:r>
    </w:p>
    <w:p>
      <w:pPr>
        <w:spacing w:lineRule="exact" w:line="600" w:before="0" w:after="0"/>
        <w:ind w:firstLine="420"/>
        <w:jc w:val="both"/>
      </w:pPr>
      <w:r>
        <w:rPr>
          <w:rFonts w:ascii="仿宋_GB2312" w:hAnsi="仿宋_GB2312" w:eastAsia="仿宋_GB2312"/>
          <w:b w:val="0"/>
          <w:color w:val="000000"/>
          <w:sz w:val="32"/>
        </w:rPr>
        <w:t>小贷对上市公司本体规模过小，适用方向为滕州基地上下游中小配套企业（玻璃深加工、物流、包装）的周转融资，依托供应链金融统一开展。</w:t>
      </w:r>
    </w:p>
    <w:p>
      <w:pPr>
        <w:spacing w:lineRule="exact" w:line="600" w:before="120" w:after="120"/>
        <w:ind w:firstLine="420"/>
        <w:jc w:val="left"/>
      </w:pPr>
      <w:r>
        <w:rPr>
          <w:rFonts w:ascii="楷体_GB2312" w:hAnsi="楷体_GB2312" w:eastAsia="楷体_GB2312"/>
          <w:b w:val="0"/>
          <w:color w:val="000000"/>
          <w:sz w:val="32"/>
        </w:rPr>
        <w:t>（六）综合建议与风控要点</w:t>
      </w:r>
    </w:p>
    <w:p>
      <w:pPr>
        <w:spacing w:lineRule="exact" w:line="600" w:before="0" w:after="0"/>
        <w:ind w:firstLine="420"/>
        <w:jc w:val="both"/>
      </w:pPr>
      <w:r>
        <w:rPr>
          <w:rFonts w:ascii="仿宋_GB2312" w:hAnsi="仿宋_GB2312" w:eastAsia="仿宋_GB2312"/>
          <w:b w:val="0"/>
          <w:color w:val="000000"/>
          <w:sz w:val="32"/>
        </w:rPr>
        <w:t>业务优先级：第一，融资租赁（TCO/超白产线设备直租＋存量回租）；第二，供应链金融（上下游链式融资）；第三，保理（应收及出口保理）；第四，小贷仅面向中小配套主体。</w:t>
      </w:r>
    </w:p>
    <w:p>
      <w:pPr>
        <w:spacing w:lineRule="exact" w:line="600" w:before="0" w:after="0"/>
        <w:ind w:firstLine="420"/>
        <w:jc w:val="both"/>
      </w:pPr>
      <w:r>
        <w:rPr>
          <w:rFonts w:ascii="仿宋_GB2312" w:hAnsi="仿宋_GB2312" w:eastAsia="仿宋_GB2312"/>
          <w:b w:val="0"/>
          <w:color w:val="000000"/>
          <w:sz w:val="32"/>
        </w:rPr>
        <w:t>风控要点：一是持续跟踪玻璃行业景气与TCO玻璃放量进度；二是关注2026Q1亏损的持续性及净资产变化；三是核查控股股东股权质押的平仓风险与流动性；四是监控短期偿债指标；五是核实环保、安全合规与诉讼情况。</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120" w:after="120"/>
        <w:ind w:firstLine="420"/>
        <w:jc w:val="left"/>
      </w:pPr>
      <w:r>
        <w:rPr>
          <w:rFonts w:ascii="楷体_GB2312" w:hAnsi="楷体_GB2312" w:eastAsia="楷体_GB2312"/>
          <w:b w:val="0"/>
          <w:color w:val="000000"/>
          <w:sz w:val="32"/>
        </w:rPr>
        <w:t>（一）综合评价</w:t>
      </w:r>
    </w:p>
    <w:p>
      <w:pPr>
        <w:spacing w:lineRule="exact" w:line="600" w:before="0" w:after="0"/>
        <w:ind w:firstLine="420"/>
        <w:jc w:val="both"/>
      </w:pPr>
      <w:r>
        <w:rPr>
          <w:rFonts w:ascii="仿宋_GB2312" w:hAnsi="仿宋_GB2312" w:eastAsia="仿宋_GB2312"/>
          <w:b w:val="0"/>
          <w:color w:val="000000"/>
          <w:sz w:val="32"/>
        </w:rPr>
        <w:t>滕州金晶玻璃有限公司（金晶科技滕州基地）是国内超白玻璃龙头金晶科技在滕州布局的核心高端玻璃生产基地，承载TCO导电玻璃等关键产能。其上市母公司金晶科技为国内超白玻璃龙头、钙钛矿TCO玻璃国产替代核心供应商，技术壁垒与细分市场地位突出。</w:t>
      </w:r>
    </w:p>
    <w:p>
      <w:pPr>
        <w:spacing w:lineRule="exact" w:line="600" w:before="0" w:after="0"/>
        <w:ind w:firstLine="420"/>
        <w:jc w:val="both"/>
      </w:pPr>
      <w:r>
        <w:rPr>
          <w:rFonts w:ascii="仿宋_GB2312" w:hAnsi="仿宋_GB2312" w:eastAsia="仿宋_GB2312"/>
          <w:b w:val="0"/>
          <w:color w:val="000000"/>
          <w:sz w:val="32"/>
        </w:rPr>
        <w:t>公司核心优势为"TCO技术壁垒+超白龙头地位+双基地一体化+上市平台"，战略价值高；主要短板是传统玻璃业务周期性波动大、2024年盈利骤降、2026Q1亏损、短期偿债偏弱、控股股东高比例质押。</w:t>
      </w:r>
    </w:p>
    <w:p>
      <w:pPr>
        <w:spacing w:lineRule="exact" w:line="600" w:before="120" w:after="120"/>
        <w:ind w:firstLine="420"/>
        <w:jc w:val="left"/>
      </w:pPr>
      <w:r>
        <w:rPr>
          <w:rFonts w:ascii="楷体_GB2312" w:hAnsi="楷体_GB2312" w:eastAsia="楷体_GB2312"/>
          <w:b w:val="0"/>
          <w:color w:val="000000"/>
          <w:sz w:val="32"/>
        </w:rPr>
        <w:t>（二）发展展望</w:t>
      </w:r>
    </w:p>
    <w:p>
      <w:pPr>
        <w:spacing w:lineRule="exact" w:line="600" w:before="0" w:after="0"/>
        <w:ind w:firstLine="420"/>
        <w:jc w:val="both"/>
      </w:pPr>
      <w:r>
        <w:rPr>
          <w:rFonts w:ascii="仿宋_GB2312" w:hAnsi="仿宋_GB2312" w:eastAsia="仿宋_GB2312"/>
          <w:b w:val="0"/>
          <w:color w:val="000000"/>
          <w:sz w:val="32"/>
        </w:rPr>
        <w:t>发展主线：一是TCO玻璃随钙钛矿电池产业化提速而放量，是公司估值与盈利修复的核心；二是超白与节能玻璃在绿色建筑、BIPV领域稳健发展；三是产线技改（宁夏4.95亿、5号超白冷修）提升效率与品质。中长期看，若钙钛矿赛道顺利放量，公司有望由周期型玻璃企业向新能源材料平台转型。</w:t>
      </w:r>
    </w:p>
    <w:p>
      <w:pPr>
        <w:spacing w:lineRule="exact" w:line="600" w:before="120" w:after="120"/>
        <w:ind w:firstLine="420"/>
        <w:jc w:val="left"/>
      </w:pPr>
      <w:r>
        <w:rPr>
          <w:rFonts w:ascii="楷体_GB2312" w:hAnsi="楷体_GB2312" w:eastAsia="楷体_GB2312"/>
          <w:b w:val="0"/>
          <w:color w:val="000000"/>
          <w:sz w:val="32"/>
        </w:rPr>
        <w:t>（三）主要挑战</w:t>
      </w:r>
    </w:p>
    <w:p>
      <w:pPr>
        <w:spacing w:lineRule="exact" w:line="600" w:before="0" w:after="0"/>
        <w:ind w:firstLine="420"/>
        <w:jc w:val="both"/>
      </w:pPr>
      <w:r>
        <w:rPr>
          <w:rFonts w:ascii="仿宋_GB2312" w:hAnsi="仿宋_GB2312" w:eastAsia="仿宋_GB2312"/>
          <w:b w:val="0"/>
          <w:color w:val="000000"/>
          <w:sz w:val="32"/>
        </w:rPr>
        <w:t>一是玻璃行业周期底部与产能过剩；二是钙钛矿产业化进度不确定性；三是盈利波动与2026Q1亏损；四是短期偿债与股东质押风险；五是传统业务毛利率偏低。</w:t>
      </w:r>
    </w:p>
    <w:p>
      <w:pPr>
        <w:spacing w:lineRule="exact" w:line="600" w:before="120" w:after="120"/>
        <w:ind w:firstLine="420"/>
        <w:jc w:val="left"/>
      </w:pPr>
      <w:r>
        <w:rPr>
          <w:rFonts w:ascii="楷体_GB2312" w:hAnsi="楷体_GB2312" w:eastAsia="楷体_GB2312"/>
          <w:b w:val="0"/>
          <w:color w:val="000000"/>
          <w:sz w:val="32"/>
        </w:rPr>
        <w:t>（四）结论与建议</w:t>
      </w:r>
    </w:p>
    <w:p>
      <w:pPr>
        <w:spacing w:lineRule="exact" w:line="600" w:before="0" w:after="0"/>
        <w:ind w:firstLine="420"/>
        <w:jc w:val="both"/>
      </w:pPr>
      <w:r>
        <w:rPr>
          <w:rFonts w:ascii="仿宋_GB2312" w:hAnsi="仿宋_GB2312" w:eastAsia="仿宋_GB2312"/>
          <w:b w:val="0"/>
          <w:color w:val="000000"/>
          <w:sz w:val="32"/>
        </w:rPr>
        <w:t>结论：滕州金晶（金晶科技滕州基地）是技术壁垒高、战略价值突出的高端玻璃企业，TCO玻璃国产替代逻辑清晰，但短期受行业周期拖累盈利承压、财务稳健性偏弱，属于"高战略价值、中等信用风险"的客户。</w:t>
      </w:r>
    </w:p>
    <w:p>
      <w:pPr>
        <w:spacing w:lineRule="exact" w:line="600" w:before="0" w:after="0"/>
        <w:ind w:firstLine="420"/>
        <w:jc w:val="both"/>
      </w:pPr>
      <w:r>
        <w:rPr>
          <w:rFonts w:ascii="仿宋_GB2312" w:hAnsi="仿宋_GB2312" w:eastAsia="仿宋_GB2312"/>
          <w:b w:val="0"/>
          <w:color w:val="000000"/>
          <w:sz w:val="32"/>
        </w:rPr>
        <w:t>对企业的建议：一是坚定TCO玻璃产能释放与客户拓展，抢抓钙钛矿窗口；二是审慎控制资本开支、优化债务结构；三是降低对传统浮法玻璃的周期依赖；四是平稳化解控股股东股权质押风险。</w:t>
      </w:r>
    </w:p>
    <w:p>
      <w:pPr>
        <w:spacing w:lineRule="exact" w:line="600" w:before="0" w:after="0"/>
        <w:ind w:firstLine="420"/>
        <w:jc w:val="both"/>
      </w:pPr>
      <w:r>
        <w:rPr>
          <w:rFonts w:ascii="仿宋_GB2312" w:hAnsi="仿宋_GB2312" w:eastAsia="仿宋_GB2312"/>
          <w:b w:val="0"/>
          <w:color w:val="000000"/>
          <w:sz w:val="32"/>
        </w:rPr>
        <w:t>对山东投资的建议：将滕州金晶列为滕州玻璃新材料集群的重点战略客户，但鉴于其为上市企业且短期财务偏弱，应以融资租赁（产线技改设备直租＋存量回租）与供应链金融（钙钛矿产业链上下游）为切入点，严格监控行业景气、盈利修复与股东质押风险，授信前取得最新财务并核查合规。</w:t>
      </w:r>
    </w:p>
    <w:p>
      <w:pPr>
        <w:spacing w:lineRule="exact" w:line="600" w:before="120" w:after="120"/>
        <w:ind w:firstLine="420"/>
        <w:jc w:val="left"/>
      </w:pPr>
      <w:r>
        <w:rPr>
          <w:rFonts w:ascii="黑体" w:hAnsi="黑体" w:eastAsia="黑体"/>
          <w:b w:val="0"/>
          <w:color w:val="000000"/>
          <w:sz w:val="32"/>
        </w:rPr>
        <w:t>数据来源说明</w:t>
      </w:r>
    </w:p>
    <w:p>
      <w:pPr>
        <w:spacing w:lineRule="exact" w:line="600" w:before="0" w:after="0"/>
        <w:ind w:firstLine="420"/>
        <w:jc w:val="both"/>
      </w:pPr>
      <w:r>
        <w:rPr>
          <w:rFonts w:ascii="仿宋_GB2312" w:hAnsi="仿宋_GB2312" w:eastAsia="仿宋_GB2312"/>
          <w:b w:val="0"/>
          <w:color w:val="000000"/>
          <w:sz w:val="32"/>
        </w:rPr>
        <w:t>本报告财务数据（2022—2024年营业收入、归母净利润、扣非净利润、每股收益、毛利率、净利率、净资产收益率、现金流量、资产负债、分季度数据，2025年三季报、2026年一季报）来源于金晶科技（600586）2022—2024年年度报告及摘要、2025年三季报、2026年一季报（巨潮资讯网，大信会计师事务所审计）。</w:t>
      </w:r>
    </w:p>
    <w:p>
      <w:pPr>
        <w:spacing w:lineRule="exact" w:line="600" w:before="0" w:after="0"/>
        <w:ind w:firstLine="420"/>
        <w:jc w:val="both"/>
      </w:pPr>
      <w:r>
        <w:rPr>
          <w:rFonts w:ascii="仿宋_GB2312" w:hAnsi="仿宋_GB2312" w:eastAsia="仿宋_GB2312"/>
          <w:b w:val="0"/>
          <w:color w:val="000000"/>
          <w:sz w:val="32"/>
        </w:rPr>
        <w:t>股权结构与实际控制人、股东质押信息来源于金晶科技2024年年度报告及搜狐财经等公开报道。</w:t>
      </w:r>
    </w:p>
    <w:p>
      <w:pPr>
        <w:spacing w:lineRule="exact" w:line="600" w:before="0" w:after="0"/>
        <w:ind w:firstLine="420"/>
        <w:jc w:val="both"/>
      </w:pPr>
      <w:r>
        <w:rPr>
          <w:rFonts w:ascii="仿宋_GB2312" w:hAnsi="仿宋_GB2312" w:eastAsia="仿宋_GB2312"/>
          <w:b w:val="0"/>
          <w:color w:val="000000"/>
          <w:sz w:val="32"/>
        </w:rPr>
        <w:t>TCO玻璃技术、产能、客户（极电光能、协鑫光电、纤纳光电）、产线技改（宁夏4.95亿元、5号超白线冷修）、荣誉资质等信息来源于金晶集团官网（www.cnggg.cn）、证券时报、金融界等公开报道。</w:t>
      </w:r>
    </w:p>
    <w:p>
      <w:pPr>
        <w:spacing w:lineRule="exact" w:line="600" w:before="0" w:after="0"/>
        <w:ind w:firstLine="420"/>
        <w:jc w:val="both"/>
      </w:pPr>
      <w:r>
        <w:rPr>
          <w:rFonts w:ascii="仿宋_GB2312" w:hAnsi="仿宋_GB2312" w:eastAsia="仿宋_GB2312"/>
          <w:b w:val="0"/>
          <w:color w:val="000000"/>
          <w:sz w:val="32"/>
        </w:rPr>
        <w:t>工商与运营信息（滕州基地、排污许可执行报告、成立与上市时间、法定代表人、注册资本、主营业务、行业分类）来源于国家企业信用信息公示系统、天眼查公开快照及公司公告。以上信息统计时点截至2026年8月公开可查范围。</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