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滕州市精密部件特色产业集群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山东威达精工智能装备有限公司(威达重工)企业分析报告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威达精工智能装备有限公司成立于2023年5月8日，法定代表人吕慧彬，统一社会信用代码91370481MACFPF4805，企业类型为有限责任公司（非自然人投资或控股的法人独资），注册资本4,655万元（实缴4,655万元），注册地址位于山东省枣庄市滕州市荆河街道北辛西路1999号（威达重工院内），登记机关为滕州市市场监督管理局，经营状态为存续，增值税一般纳税人。参保人数约635—740人。官网为www.weidamc.com。</w:t>
      </w:r>
    </w:p>
    <w:p>
      <w:pPr>
        <w:spacing w:lineRule="exact" w:line="600" w:before="0" w:after="0"/>
        <w:ind w:firstLine="420"/>
        <w:jc w:val="both"/>
      </w:pPr>
      <w:r>
        <w:rPr>
          <w:rFonts w:ascii="仿宋_GB2312" w:hAnsi="仿宋_GB2312" w:eastAsia="仿宋_GB2312"/>
          <w:b w:val="0"/>
          <w:color w:val="000000"/>
          <w:sz w:val="32"/>
        </w:rPr>
        <w:t>股权结构：为法人独资企业，股东为山东威达重工股份有限公司（威达重工体系内核心企业）。威达重工为民营控股的大型数控机床制造企业，注册资本约2亿元，员工800余人，年销售额10—20亿元，出口80余个国家和地区。山东威达精工智能装备有限公司系威达重工体系内专注高端五轴机床的法人主体，实际控制人为威达重工创始团队。</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执行董事兼总经理吕慧彬、财务负责人徐宁、监事朱均；位于威达重工院内，与威达重工共享研发、制造与销售体系。威达重工建有省级技术研发中心与博士后科研工作站，拥有工程技术人员365名，关键生产加工设备包括原装进口德国瓦德里希科堡导轨磨、海科特、恒轮、德玛吉卧式加工中心，日本大隈、新日本工机龙门五面体镗铣中心及132台套检测调试仪器。</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威达重工经过多年发展，成为全国机床行业30强、全国机床出口10强，连续三年荣获国家机床行业最高奖“春燕奖”。2023年5月设立山东威达精工智能装备有限公司，聚焦高端精密五轴机床产业化。威达高端精密五轴机床产业化项目为威达重工投资建设的国机揭榜“产业强国”项目，总投资12亿元，与清华大学联手成功揭榜国家机床“补短板”4亿元专项，自主研发万能铣头、刀库等关键零部件；一期已完工，预计年销售收入10亿元、利税1亿元。</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鲁南地区规模较大的数控机床制造企业、滕州高端装备龙头企业、全国机床行业30强。主营业务为通用设备制造、金属成形/切削机床制造销售、数控机床制造销售、机床功能部件及附件制造、智能基础制造装备、工业机器人制造销售、工业自动控制系统及货物技术进出口。核心产品为五轴联动加工中心、龙门/卧式/立式加工中心及自动化生产线。</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数控机床（龙门、卧式、立式、五轴加工中心）为主，并向机床功能部件、工业机器人、自动化生产线延伸。威达高端精密五轴机床产业化项目由普机生产转向专机定制，军民融合度将超过30%、市场外向度超过50%。公司未公开披露分产品收入占比；整体年销售额10—20亿元。</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五轴联动加工中心（精度达0.002mm，国际先进）、GMC系列龙门加工中心、WMC系列卧式加工中心、VU/DMC系列五轴立式加工中心、HCM卧式摇篮五轴、FUMT车铣复合五轴、自动化生产线及普通铣床。五轴桥式高速龙门加工中心吸震性强、加工范围大、动态特性佳。</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客户覆盖模具、汽车、工程机械、航空航天、军工、新能源等领域，与特斯拉、比亚迪、长城等新能源车企以及航天科技、兵器工业等军工单位达成深度合作；出口80余个国家和地区，市场外向度高。</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生产所需主要原料为铸铁、钢材、数控系统、功能部件（铣头、刀库、丝杠、导轨）及电气元件，关键设备与检测仪器以进口高端为主；原材料与零部件价格随制造业周期波动。</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威达重工占地50万平方米、建筑面积35万平方米，资产总计10亿余元，工程技术人员365名；建有省级技术研发中心与博士后科研工作站，累计获得发明与实用新型100余项。威达高端精密五轴机床产业化项目总投资12亿元，建成1.3万平方米国际一流恒温恒湿车间，引入德、瑞、日全球最先进生产检测设备；五轴加工中心定位精度0.002mm（国际先进）。</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以工程直销与经销商结合，国内外布局销售服务网络；积极参与CCMT、大连/郑州/济南/西安国际机床展；出口80余国，海外代理商与服务体系支撑市场外向度。</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报道：威达重工为全国机床行业30强、全国机床出口10强，连续三年获“春燕奖”；注册资本2亿元，员工800余人，年销售额10—20亿元，出口80余国；威达高端精密五轴机床产业化项目达产后年销售收入10亿元、利税1亿元，军民融合度超30%、市场外向度超50%。注：山东威达精工智能装备有限公司单体近三年完整财务数据未公开披露，上述为威达重工体系公开口径。</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山东威达精工智能装备有限公司为非上市法人独资企业，单体近三年财务报表未公开披露；以下列威达重工体系公开经营数据，不作编造。</w:t>
      </w:r>
    </w:p>
    <w:tbl>
      <w:tblPr>
        <w:tblStyle w:val="TableGrid"/>
        <w:tblW w:type="auto" w:w="0"/>
        <w:jc w:val="center"/>
        <w:tblLook w:firstColumn="1" w:firstRow="1" w:lastColumn="0" w:lastRow="0" w:noHBand="0" w:noVBand="1" w:val="04A0"/>
      </w:tblPr>
      <w:tblGrid>
        <w:gridCol w:w="4422"/>
        <w:gridCol w:w="4422"/>
      </w:tblGrid>
      <w:tr>
        <w:tc>
          <w:tcPr>
            <w:tcW w:type="dxa" w:w="2721"/>
          </w:tcPr>
          <w:p>
            <w:pPr>
              <w:spacing w:lineRule="exact" w:line="600"/>
              <w:jc w:val="center"/>
            </w:pPr>
            <w:r/>
            <w:r>
              <w:rPr>
                <w:rFonts w:ascii="黑体" w:hAnsi="黑体" w:eastAsia="黑体"/>
                <w:b/>
                <w:color w:val="000000"/>
                <w:sz w:val="32"/>
              </w:rPr>
              <w:t>指标</w:t>
            </w:r>
          </w:p>
        </w:tc>
        <w:tc>
          <w:tcPr>
            <w:tcW w:type="dxa" w:w="6066"/>
          </w:tcPr>
          <w:p>
            <w:pPr>
              <w:spacing w:lineRule="exact" w:line="600"/>
              <w:jc w:val="center"/>
            </w:pPr>
            <w:r/>
            <w:r>
              <w:rPr>
                <w:rFonts w:ascii="黑体" w:hAnsi="黑体" w:eastAsia="黑体"/>
                <w:b/>
                <w:color w:val="000000"/>
                <w:sz w:val="32"/>
              </w:rPr>
              <w:t>公开披露值</w:t>
            </w:r>
          </w:p>
        </w:tc>
      </w:tr>
      <w:tr>
        <w:tc>
          <w:tcPr>
            <w:tcW w:type="dxa" w:w="2721"/>
          </w:tcPr>
          <w:p>
            <w:pPr>
              <w:spacing w:lineRule="exact" w:line="600"/>
              <w:jc w:val="center"/>
            </w:pPr>
            <w:r/>
            <w:r>
              <w:rPr>
                <w:rFonts w:ascii="仿宋_GB2312" w:hAnsi="仿宋_GB2312" w:eastAsia="仿宋_GB2312"/>
                <w:b w:val="0"/>
                <w:color w:val="000000"/>
                <w:sz w:val="32"/>
              </w:rPr>
              <w:t>注册资本（威达精工）</w:t>
            </w:r>
          </w:p>
        </w:tc>
        <w:tc>
          <w:tcPr>
            <w:tcW w:type="dxa" w:w="6066"/>
          </w:tcPr>
          <w:p>
            <w:pPr>
              <w:spacing w:lineRule="exact" w:line="600"/>
              <w:jc w:val="center"/>
            </w:pPr>
            <w:r/>
            <w:r>
              <w:rPr>
                <w:rFonts w:ascii="仿宋_GB2312" w:hAnsi="仿宋_GB2312" w:eastAsia="仿宋_GB2312"/>
                <w:b w:val="0"/>
                <w:color w:val="000000"/>
                <w:sz w:val="32"/>
              </w:rPr>
              <w:t>4,655万元（实缴同）</w:t>
            </w:r>
          </w:p>
        </w:tc>
      </w:tr>
      <w:tr>
        <w:tc>
          <w:tcPr>
            <w:tcW w:type="dxa" w:w="2721"/>
          </w:tcPr>
          <w:p>
            <w:pPr>
              <w:spacing w:lineRule="exact" w:line="600"/>
              <w:jc w:val="center"/>
            </w:pPr>
            <w:r/>
            <w:r>
              <w:rPr>
                <w:rFonts w:ascii="仿宋_GB2312" w:hAnsi="仿宋_GB2312" w:eastAsia="仿宋_GB2312"/>
                <w:b w:val="0"/>
                <w:color w:val="000000"/>
                <w:sz w:val="32"/>
              </w:rPr>
              <w:t>成立时间</w:t>
            </w:r>
          </w:p>
        </w:tc>
        <w:tc>
          <w:tcPr>
            <w:tcW w:type="dxa" w:w="6066"/>
          </w:tcPr>
          <w:p>
            <w:pPr>
              <w:spacing w:lineRule="exact" w:line="600"/>
              <w:jc w:val="center"/>
            </w:pPr>
            <w:r/>
            <w:r>
              <w:rPr>
                <w:rFonts w:ascii="仿宋_GB2312" w:hAnsi="仿宋_GB2312" w:eastAsia="仿宋_GB2312"/>
                <w:b w:val="0"/>
                <w:color w:val="000000"/>
                <w:sz w:val="32"/>
              </w:rPr>
              <w:t>2023-05-08</w:t>
            </w:r>
          </w:p>
        </w:tc>
      </w:tr>
      <w:tr>
        <w:tc>
          <w:tcPr>
            <w:tcW w:type="dxa" w:w="2721"/>
          </w:tcPr>
          <w:p>
            <w:pPr>
              <w:spacing w:lineRule="exact" w:line="600"/>
              <w:jc w:val="center"/>
            </w:pPr>
            <w:r/>
            <w:r>
              <w:rPr>
                <w:rFonts w:ascii="仿宋_GB2312" w:hAnsi="仿宋_GB2312" w:eastAsia="仿宋_GB2312"/>
                <w:b w:val="0"/>
                <w:color w:val="000000"/>
                <w:sz w:val="32"/>
              </w:rPr>
              <w:t>威达重工注册资本</w:t>
            </w:r>
          </w:p>
        </w:tc>
        <w:tc>
          <w:tcPr>
            <w:tcW w:type="dxa" w:w="6066"/>
          </w:tcPr>
          <w:p>
            <w:pPr>
              <w:spacing w:lineRule="exact" w:line="600"/>
              <w:jc w:val="center"/>
            </w:pPr>
            <w:r/>
            <w:r>
              <w:rPr>
                <w:rFonts w:ascii="仿宋_GB2312" w:hAnsi="仿宋_GB2312" w:eastAsia="仿宋_GB2312"/>
                <w:b w:val="0"/>
                <w:color w:val="000000"/>
                <w:sz w:val="32"/>
              </w:rPr>
              <w:t>约20,000万元</w:t>
            </w:r>
          </w:p>
        </w:tc>
      </w:tr>
      <w:tr>
        <w:tc>
          <w:tcPr>
            <w:tcW w:type="dxa" w:w="2721"/>
          </w:tcPr>
          <w:p>
            <w:pPr>
              <w:spacing w:lineRule="exact" w:line="600"/>
              <w:jc w:val="center"/>
            </w:pPr>
            <w:r/>
            <w:r>
              <w:rPr>
                <w:rFonts w:ascii="仿宋_GB2312" w:hAnsi="仿宋_GB2312" w:eastAsia="仿宋_GB2312"/>
                <w:b w:val="0"/>
                <w:color w:val="000000"/>
                <w:sz w:val="32"/>
              </w:rPr>
              <w:t>员工规模</w:t>
            </w:r>
          </w:p>
        </w:tc>
        <w:tc>
          <w:tcPr>
            <w:tcW w:type="dxa" w:w="6066"/>
          </w:tcPr>
          <w:p>
            <w:pPr>
              <w:spacing w:lineRule="exact" w:line="600"/>
              <w:jc w:val="center"/>
            </w:pPr>
            <w:r/>
            <w:r>
              <w:rPr>
                <w:rFonts w:ascii="仿宋_GB2312" w:hAnsi="仿宋_GB2312" w:eastAsia="仿宋_GB2312"/>
                <w:b w:val="0"/>
                <w:color w:val="000000"/>
                <w:sz w:val="32"/>
              </w:rPr>
              <w:t>800余人（威达体系）</w:t>
            </w:r>
          </w:p>
        </w:tc>
      </w:tr>
      <w:tr>
        <w:tc>
          <w:tcPr>
            <w:tcW w:type="dxa" w:w="2721"/>
          </w:tcPr>
          <w:p>
            <w:pPr>
              <w:spacing w:lineRule="exact" w:line="600"/>
              <w:jc w:val="center"/>
            </w:pPr>
            <w:r/>
            <w:r>
              <w:rPr>
                <w:rFonts w:ascii="仿宋_GB2312" w:hAnsi="仿宋_GB2312" w:eastAsia="仿宋_GB2312"/>
                <w:b w:val="0"/>
                <w:color w:val="000000"/>
                <w:sz w:val="32"/>
              </w:rPr>
              <w:t>年销售额</w:t>
            </w:r>
          </w:p>
        </w:tc>
        <w:tc>
          <w:tcPr>
            <w:tcW w:type="dxa" w:w="6066"/>
          </w:tcPr>
          <w:p>
            <w:pPr>
              <w:spacing w:lineRule="exact" w:line="600"/>
              <w:jc w:val="center"/>
            </w:pPr>
            <w:r/>
            <w:r>
              <w:rPr>
                <w:rFonts w:ascii="仿宋_GB2312" w:hAnsi="仿宋_GB2312" w:eastAsia="仿宋_GB2312"/>
                <w:b w:val="0"/>
                <w:color w:val="000000"/>
                <w:sz w:val="32"/>
              </w:rPr>
              <w:t>10—20亿元（威达体系）</w:t>
            </w:r>
          </w:p>
        </w:tc>
      </w:tr>
      <w:tr>
        <w:tc>
          <w:tcPr>
            <w:tcW w:type="dxa" w:w="2721"/>
          </w:tcPr>
          <w:p>
            <w:pPr>
              <w:spacing w:lineRule="exact" w:line="600"/>
              <w:jc w:val="center"/>
            </w:pPr>
            <w:r/>
            <w:r>
              <w:rPr>
                <w:rFonts w:ascii="仿宋_GB2312" w:hAnsi="仿宋_GB2312" w:eastAsia="仿宋_GB2312"/>
                <w:b w:val="0"/>
                <w:color w:val="000000"/>
                <w:sz w:val="32"/>
              </w:rPr>
              <w:t>出口</w:t>
            </w:r>
          </w:p>
        </w:tc>
        <w:tc>
          <w:tcPr>
            <w:tcW w:type="dxa" w:w="6066"/>
          </w:tcPr>
          <w:p>
            <w:pPr>
              <w:spacing w:lineRule="exact" w:line="600"/>
              <w:jc w:val="center"/>
            </w:pPr>
            <w:r/>
            <w:r>
              <w:rPr>
                <w:rFonts w:ascii="仿宋_GB2312" w:hAnsi="仿宋_GB2312" w:eastAsia="仿宋_GB2312"/>
                <w:b w:val="0"/>
                <w:color w:val="000000"/>
                <w:sz w:val="32"/>
              </w:rPr>
              <w:t>80余个国家和地区</w:t>
            </w:r>
          </w:p>
        </w:tc>
      </w:tr>
      <w:tr>
        <w:tc>
          <w:tcPr>
            <w:tcW w:type="dxa" w:w="2721"/>
          </w:tcPr>
          <w:p>
            <w:pPr>
              <w:spacing w:lineRule="exact" w:line="600"/>
              <w:jc w:val="center"/>
            </w:pPr>
            <w:r/>
            <w:r>
              <w:rPr>
                <w:rFonts w:ascii="仿宋_GB2312" w:hAnsi="仿宋_GB2312" w:eastAsia="仿宋_GB2312"/>
                <w:b w:val="0"/>
                <w:color w:val="000000"/>
                <w:sz w:val="32"/>
              </w:rPr>
              <w:t>五轴精度</w:t>
            </w:r>
          </w:p>
        </w:tc>
        <w:tc>
          <w:tcPr>
            <w:tcW w:type="dxa" w:w="6066"/>
          </w:tcPr>
          <w:p>
            <w:pPr>
              <w:spacing w:lineRule="exact" w:line="600"/>
              <w:jc w:val="center"/>
            </w:pPr>
            <w:r/>
            <w:r>
              <w:rPr>
                <w:rFonts w:ascii="仿宋_GB2312" w:hAnsi="仿宋_GB2312" w:eastAsia="仿宋_GB2312"/>
                <w:b w:val="0"/>
                <w:color w:val="000000"/>
                <w:sz w:val="32"/>
              </w:rPr>
              <w:t>0.002mm（国际先进）</w:t>
            </w:r>
          </w:p>
        </w:tc>
      </w:tr>
      <w:tr>
        <w:tc>
          <w:tcPr>
            <w:tcW w:type="dxa" w:w="2721"/>
          </w:tcPr>
          <w:p>
            <w:pPr>
              <w:spacing w:lineRule="exact" w:line="600"/>
              <w:jc w:val="center"/>
            </w:pPr>
            <w:r/>
            <w:r>
              <w:rPr>
                <w:rFonts w:ascii="仿宋_GB2312" w:hAnsi="仿宋_GB2312" w:eastAsia="仿宋_GB2312"/>
                <w:b w:val="0"/>
                <w:color w:val="000000"/>
                <w:sz w:val="32"/>
              </w:rPr>
              <w:t>营收/利润</w:t>
            </w:r>
          </w:p>
        </w:tc>
        <w:tc>
          <w:tcPr>
            <w:tcW w:type="dxa" w:w="606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财务数据未公开披露。威达重工年销售额10—20亿元、连续获“春燕奖”，盈利规模在机床行业居前列；五轴高端化与军工/新能源客户结构支撑毛利率优于普机。</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无公开资产数据。威达重工资产总计10亿余元，固定资产（50万平米厂区、进口高端设备）占比高，资产扎实。</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无公开负债数据。12亿元五轴产业化项目资本开支大，预计依赖股东出资与银行融资；建议核查杠杆与偿债。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无公开现金流数据。重资产扩产与研发对营运资金占用较大，关注经营现金流。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滕州精密部件集群内山森数控（电盘/面板配套）、清峦福兴（车铣复合/五轴）相比，威达重工以“整机龙头+五轴高端+出口10强”处于链主地位；与国内机床龙头（如创世纪、海天精工）相比，威达在五轴精度（0.002mm）与军工/新能源客户绑定上具备特色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法人独资企业，设执行董事兼总经理、财务负责人、监事；作为威达重工体系核心主体，治理由民营控股集团统筹，落实现代企业制度与重大决策程序。</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山东威达精工法定代表人、执行董事兼总经理吕慧彬；威达重工创始团队主导战略。管理层具备深厚机床产业背景。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建有省级技术研发中心、博士后科研工作站，通过ISO等体系认证；五轴项目建成恒温恒湿车间与先进检测体系，内控与质量管控较完备。</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威达体系员工800余人，工程技术人员365名，研发与制造人才密集；博士后工作站支撑高端人才引育。</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规模与产业链壁垒：全国机床30强、出口10强，年销售额10—20亿元，50万平米厂区与进口高端设备构成重资产壁垒。二是技术与精度壁垒：五轴联动加工中心精度0.002mm（国际先进），揭榜国家机床“补短板”4亿元专项，自研万能铣头、刀库等关键零部件。三是客户与资质壁垒：连续三年“春燕奖”，绑定特斯拉、比亚迪、长城及航天科技、兵器工业等军工单位，军民融合度超30%。四是出口网络：80余国销售服务网络，市场外向度超50%。五是荣誉与品牌：滕州高端装备链主，行业话语权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机床行业强周期，受制造业投资与新能源/军工需求波动影响；应对为多元客户与出口分散。二是技术迭代风险：高端五轴竞争激烈、海外巨头挤压；应对为持续研发与清华合作。三是客户集中与回款风险：军工/大客户订单周期长；应对为信用管理。四是扩张风险：12亿元五轴项目资本开支大，存在投产与需求错配；应对为分期建设与订单匹配。五是贸易风险：出口占比高，受地缘政治与贸易壁垒影响。</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特斯拉、比亚迪、军工单位等客户的应收账款可开展保理。供应链金融：为上游铸件、功能部件、数控系统供应商提供订单与存货融资。融资租赁：12亿元五轴产业化项目设备及新建产线适合直租/回租，山东投资可重点对接。小贷：面向中小配套企业短期周转。鉴于威达为机床链主、出口10强、资质优良，建议以“项目设备融资租赁+核心客户应收保理”组合切入，关注扩产节奏与出口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威达精工（威达重工）是滕州精密部件集群的机床链主、全国30强与出口10强，五轴精度国际先进、军工与新能源客户绑定深、资产扎实；但财务不透明、处12亿元重资产扩产投入期、行业周期性强。发展展望：据行业趋势，新能源与军工对高端五轴需求旺盛，五轴项目达产后年销售10亿元、军民融合度超30%，向国内民企五强迈进。建议：一是对接五轴项目设备融资租赁与核心客户应收保理；二是授信前补充合并财务资料；三是关注机床周期与出口贸易风险，设置动态监测。</w:t>
      </w:r>
    </w:p>
    <w:p>
      <w:pPr>
        <w:spacing w:lineRule="exact" w:line="600" w:before="0" w:after="0"/>
        <w:jc w:val="left"/>
      </w:pPr>
      <w:r>
        <w:rPr>
          <w:rFonts w:ascii="仿宋_GB2312" w:hAnsi="仿宋_GB2312" w:eastAsia="仿宋_GB2312"/>
          <w:b w:val="0"/>
          <w:color w:val="000000"/>
          <w:sz w:val="28"/>
        </w:rPr>
        <w:t>数据来源说明：天眼查/爱企查（工商、股权、注册资本）、威达重工官网 weidamc.com（厂区、资产、客户）、枣庄/滕州项目观摩报道与大众网/齐鲁壹点（全国30强、春燕奖、五轴0.002mm、12亿项目、特斯拉/比亚迪/军工合作）、清华揭榜“补短板”专项公开信息。单体财务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