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滨州市沾化区绿色能源装备制造特色产业集群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沾化宏烨新能源有限公司企业分析报告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国家企业信用信息公示系统、天眼查/爱企查/企查查/启信宝、公司官网及权威媒体（滨州日报、大众日报、聊城日报、中国铸造协会、地方党报及政府官网）等公开渠道，统计时点截至最新披露信息；非上市企业未公开披露财务数据已如实标注，未作任何编造。报告供山东省投资有限公司业务参考之用。）</w:t>
      </w:r>
    </w:p>
    <w:p>
      <w:pPr>
        <w:spacing w:lineRule="exact" w:line="600" w:before="0" w:after="0"/>
        <w:jc w:val="left"/>
      </w:pPr>
      <w:r>
        <w:rPr>
          <w:rFonts w:ascii="仿宋_GB2312" w:hAnsi="仿宋_GB2312" w:eastAsia="仿宋_GB2312"/>
          <w:b w:val="0"/>
          <w:color w:val="000000"/>
          <w:sz w:val="28"/>
        </w:rPr>
        <w:t>（名称说明：产业集群登记名称为“沾化宏烨新能源有限公司”，其工商登记全称为“滨州市沾化区宏烨新能源有限公司”，本报告正文以全称为准说明。）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滨州市沾化区宏烨新能源有限公司（以下简称“宏烨新能源”）统一社会信用代码91371624MA951BY0XU，成立于2021年9月29日，法定代表人为张军（2025年4月由顾敏变更），注册资本81,200万元人民币（历经2023年9月由1亿元增至4.62亿元、2023年12月增至8.12亿元两次增资），注册地址位于山东省滨州市沾化区临港产业园魏桥中路与富海六路交汇口东150米，登记机关为滨州市沾化区市场监督管理局。企业类型为有限责任公司（非自然人投资或控股的法人独资），经营状态为存续。</w:t>
      </w:r>
    </w:p>
    <w:p>
      <w:pPr>
        <w:spacing w:lineRule="exact" w:line="600" w:before="0" w:after="0"/>
        <w:ind w:firstLine="420"/>
        <w:jc w:val="both"/>
      </w:pPr>
      <w:r>
        <w:rPr>
          <w:rFonts w:ascii="仿宋_GB2312" w:hAnsi="仿宋_GB2312" w:eastAsia="仿宋_GB2312"/>
          <w:b w:val="0"/>
          <w:color w:val="000000"/>
          <w:sz w:val="32"/>
        </w:rPr>
        <w:t>股权结构与国资层级：股东为上海能科瑞盈能源有限公司（持股100%）；穿透后受上海能源科技发展有限公司（持股47.15%）、工银金融资产投资有限公司（26.42%）、陕西金融资产管理股份有限公司（26.42%）控制。上海能源科技发展有限公司为国家电力投资集团有限公司（央企）体系内企业，故宏烨新能源实际控制人为国家电力投资集团有限公司，国资层级为：国务院国资委→国家电力投资集团→上海能源科技发展有限公司→上海能科瑞盈能源有限公司→宏烨新能源，属央企控股新能源项目公司。须落实央企国资监管、“三重一大”决策制度与党委前置研究程序。</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作为国家电投集团在沾化区投资建设的2GW渔光互补光伏发电项目建设和运营主体，设综合管理、生产技术、工程建设、财务等职能部门；生产技术部负责电站运行，综合管理部统筹对外协调。宏烨新能源对外投资5家企业，围绕光伏项目形成项目公司集群。</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2021年9月公司成立；2022年起魏桥创业集团与国家电投签署战略合作协议，由国家电投出资约90亿元，利用鲁北盐碱地分期建设绿电直连工程；2023年9月注册资本由1亿元增至4.62亿元、12月再增至8.12亿元；2023年12月沾化区2GW渔光互补发电项目一期全容量并网；2024年4月二期并网；2024年7月新增三期300MW工程；2025年11月三期开工，2026年4月三期成功并网（全球单体最大渔光互补发电项目年发电能力跃升至17.71亿千瓦时）；项目分五期梯度建设、压茬推进，全部建成后将成为鲁北盐碱滩涂地千万千瓦级风光储输一体化基地重要组成部分。</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国家电投集团在鲁北布局的“绿电直连”标杆项目公司、滨州绿色能源装备制造集群核心运营主体。主营业务为新兴能源技术研发、风力发电技术服务、太阳能热发电产品与装备销售、发电机及发电机组销售；许可项目为发电业务、输电业务、供（配）电业务，水产养殖，水力发电，及电力设施的安装、维修和试验。核心项目为沾化区2GW渔光互补光伏发电项目，配套服务魏桥创业集团汇宏新材料800万吨氧化铝生产基地（全球最大单体氧化铝基地），实现“绿电就地转化为绿色铝”。</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光伏发电为核心，采用“渔光互补、源网荷储”模式：水上光伏发电、水下鱼虾养殖、池水工业制盐相结合，形成立体开发；电力由魏桥集团全额消纳（绿电直连），国家电投提供运营与资金支持。收入结构以上网电费（含绿电直供）为主，辅以水产养殖与制盐协同收益。项目层面收入数据已部分披露（见经营数据）。</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核心“产品”为绿色电力：项目总占地约6.5万亩（4.5万亩），规划光伏发电规模2GW，选用国内先进、转换效率高的P型单晶硅单面双玻650Wp和N型570Wp单晶硅双面半片光伏组件，搭配320kW组串式逆变器，配套建设220kV升压站及送出线路；创新“上可发电、下可养鱼”桩基础抬高模式。此外提供绿电直供（点对点供应氧化铝基地）与源网荷储协同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唯一核心客户为魏桥创业集团旗下汇宏新材料800万吨氧化铝生产基地（全球最大单体氧化铝基地），绿电由其全额消纳，形成“点对点”直供模式；国家电投作为投资方与运营支持方。客户集中度高但信用极强、用电需求稳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项目建设与运营所需光伏组件、逆变器、升压站设备、支架及工程建设服务为主要采购对象；运营期主要成本为运维、保险与财务费用。设备采购以集中招标为主。</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资源与产能：项目总占地约6.5万亩，规划2GW光伏装机，分五期建设；配套220kV升压站；全部建成后年均发电约33亿度（部分报道称全面30亿+度），年均可实现收入约11亿元，年节约标准煤约103万吨、减排CO₂约281万吨。已获发电类行政许可（滨州沾化区2GW渔光互补发电项目及220kV升压站相关批复）。</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采用“绿电直连+全额消纳”模式，电力直接点对点供应魏桥汇宏新材料基地，绕过大电网；国家电投提供运营支持，工商银行等金融机构以电费应收账款质押提供银团融资。</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央企项目公司，单体财务报表未公开披露，但项目层面数据有公开披露：项目总投资约90亿元；2023年12月首期并网，2024年全年上网发电量74,830.97万kWh，等效利用小时数1,458.2h，产生收入约2.62亿元（超出预期11.57%）；全部投运后年均收入约11亿元。在滨州绿色能源版图中，该项目为鲁北盐碱滩涂地千万千瓦级风光储输一体化基地重要组成部分，单体规模居全国渔光互补前列。注：上述为项目公司公开披露口径，非合并财报。</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滨州市沾化区宏烨新能源有限公司为非上市央企项目公司，单体财务报表未公开披露；下表列示公开工商与项目层面数据，单位：万元，不作编造。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81,200（历经两次增资）</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2021-09-29</w:t>
            </w:r>
          </w:p>
        </w:tc>
      </w:tr>
      <w:tr>
        <w:tc>
          <w:tcPr>
            <w:tcW w:type="dxa" w:w="2551"/>
          </w:tcPr>
          <w:p>
            <w:pPr>
              <w:spacing w:lineRule="exact" w:line="600"/>
              <w:jc w:val="center"/>
            </w:pPr>
            <w:r/>
            <w:r>
              <w:rPr>
                <w:rFonts w:ascii="仿宋_GB2312" w:hAnsi="仿宋_GB2312" w:eastAsia="仿宋_GB2312"/>
                <w:b w:val="0"/>
                <w:color w:val="000000"/>
                <w:sz w:val="32"/>
              </w:rPr>
              <w:t>实际控制人</w:t>
            </w:r>
          </w:p>
        </w:tc>
        <w:tc>
          <w:tcPr>
            <w:tcW w:type="dxa" w:w="6236"/>
          </w:tcPr>
          <w:p>
            <w:pPr>
              <w:spacing w:lineRule="exact" w:line="600"/>
              <w:jc w:val="center"/>
            </w:pPr>
            <w:r/>
            <w:r>
              <w:rPr>
                <w:rFonts w:ascii="仿宋_GB2312" w:hAnsi="仿宋_GB2312" w:eastAsia="仿宋_GB2312"/>
                <w:b w:val="0"/>
                <w:color w:val="000000"/>
                <w:sz w:val="32"/>
              </w:rPr>
              <w:t>国家电力投资集团（央企）</w:t>
            </w:r>
          </w:p>
        </w:tc>
      </w:tr>
      <w:tr>
        <w:tc>
          <w:tcPr>
            <w:tcW w:type="dxa" w:w="2551"/>
          </w:tcPr>
          <w:p>
            <w:pPr>
              <w:spacing w:lineRule="exact" w:line="600"/>
              <w:jc w:val="center"/>
            </w:pPr>
            <w:r/>
            <w:r>
              <w:rPr>
                <w:rFonts w:ascii="仿宋_GB2312" w:hAnsi="仿宋_GB2312" w:eastAsia="仿宋_GB2312"/>
                <w:b w:val="0"/>
                <w:color w:val="000000"/>
                <w:sz w:val="32"/>
              </w:rPr>
              <w:t>项目总投资</w:t>
            </w:r>
          </w:p>
        </w:tc>
        <w:tc>
          <w:tcPr>
            <w:tcW w:type="dxa" w:w="6236"/>
          </w:tcPr>
          <w:p>
            <w:pPr>
              <w:spacing w:lineRule="exact" w:line="600"/>
              <w:jc w:val="center"/>
            </w:pPr>
            <w:r/>
            <w:r>
              <w:rPr>
                <w:rFonts w:ascii="仿宋_GB2312" w:hAnsi="仿宋_GB2312" w:eastAsia="仿宋_GB2312"/>
                <w:b w:val="0"/>
                <w:color w:val="000000"/>
                <w:sz w:val="32"/>
              </w:rPr>
              <w:t>约900,000</w:t>
            </w:r>
          </w:p>
        </w:tc>
      </w:tr>
      <w:tr>
        <w:tc>
          <w:tcPr>
            <w:tcW w:type="dxa" w:w="2551"/>
          </w:tcPr>
          <w:p>
            <w:pPr>
              <w:spacing w:lineRule="exact" w:line="600"/>
              <w:jc w:val="center"/>
            </w:pPr>
            <w:r/>
            <w:r>
              <w:rPr>
                <w:rFonts w:ascii="仿宋_GB2312" w:hAnsi="仿宋_GB2312" w:eastAsia="仿宋_GB2312"/>
                <w:b w:val="0"/>
                <w:color w:val="000000"/>
                <w:sz w:val="32"/>
              </w:rPr>
              <w:t>规划装机</w:t>
            </w:r>
          </w:p>
        </w:tc>
        <w:tc>
          <w:tcPr>
            <w:tcW w:type="dxa" w:w="6236"/>
          </w:tcPr>
          <w:p>
            <w:pPr>
              <w:spacing w:lineRule="exact" w:line="600"/>
              <w:jc w:val="center"/>
            </w:pPr>
            <w:r/>
            <w:r>
              <w:rPr>
                <w:rFonts w:ascii="仿宋_GB2312" w:hAnsi="仿宋_GB2312" w:eastAsia="仿宋_GB2312"/>
                <w:b w:val="0"/>
                <w:color w:val="000000"/>
                <w:sz w:val="32"/>
              </w:rPr>
              <w:t>2GW（分五期）</w:t>
            </w:r>
          </w:p>
        </w:tc>
      </w:tr>
      <w:tr>
        <w:tc>
          <w:tcPr>
            <w:tcW w:type="dxa" w:w="2551"/>
          </w:tcPr>
          <w:p>
            <w:pPr>
              <w:spacing w:lineRule="exact" w:line="600"/>
              <w:jc w:val="center"/>
            </w:pPr>
            <w:r/>
            <w:r>
              <w:rPr>
                <w:rFonts w:ascii="仿宋_GB2312" w:hAnsi="仿宋_GB2312" w:eastAsia="仿宋_GB2312"/>
                <w:b w:val="0"/>
                <w:color w:val="000000"/>
                <w:sz w:val="32"/>
              </w:rPr>
              <w:t>2024年上网电量</w:t>
            </w:r>
          </w:p>
        </w:tc>
        <w:tc>
          <w:tcPr>
            <w:tcW w:type="dxa" w:w="6236"/>
          </w:tcPr>
          <w:p>
            <w:pPr>
              <w:spacing w:lineRule="exact" w:line="600"/>
              <w:jc w:val="center"/>
            </w:pPr>
            <w:r/>
            <w:r>
              <w:rPr>
                <w:rFonts w:ascii="仿宋_GB2312" w:hAnsi="仿宋_GB2312" w:eastAsia="仿宋_GB2312"/>
                <w:b w:val="0"/>
                <w:color w:val="000000"/>
                <w:sz w:val="32"/>
              </w:rPr>
              <w:t>约74,831万kWh</w:t>
            </w:r>
          </w:p>
        </w:tc>
      </w:tr>
      <w:tr>
        <w:tc>
          <w:tcPr>
            <w:tcW w:type="dxa" w:w="2551"/>
          </w:tcPr>
          <w:p>
            <w:pPr>
              <w:spacing w:lineRule="exact" w:line="600"/>
              <w:jc w:val="center"/>
            </w:pPr>
            <w:r/>
            <w:r>
              <w:rPr>
                <w:rFonts w:ascii="仿宋_GB2312" w:hAnsi="仿宋_GB2312" w:eastAsia="仿宋_GB2312"/>
                <w:b w:val="0"/>
                <w:color w:val="000000"/>
                <w:sz w:val="32"/>
              </w:rPr>
              <w:t>2024年发电收入</w:t>
            </w:r>
          </w:p>
        </w:tc>
        <w:tc>
          <w:tcPr>
            <w:tcW w:type="dxa" w:w="6236"/>
          </w:tcPr>
          <w:p>
            <w:pPr>
              <w:spacing w:lineRule="exact" w:line="600"/>
              <w:jc w:val="center"/>
            </w:pPr>
            <w:r/>
            <w:r>
              <w:rPr>
                <w:rFonts w:ascii="仿宋_GB2312" w:hAnsi="仿宋_GB2312" w:eastAsia="仿宋_GB2312"/>
                <w:b w:val="0"/>
                <w:color w:val="000000"/>
                <w:sz w:val="32"/>
              </w:rPr>
              <w:t>约26,200（超预期11.57%）</w:t>
            </w:r>
          </w:p>
        </w:tc>
      </w:tr>
      <w:tr>
        <w:tc>
          <w:tcPr>
            <w:tcW w:type="dxa" w:w="2551"/>
          </w:tcPr>
          <w:p>
            <w:pPr>
              <w:spacing w:lineRule="exact" w:line="600"/>
              <w:jc w:val="center"/>
            </w:pPr>
            <w:r/>
            <w:r>
              <w:rPr>
                <w:rFonts w:ascii="仿宋_GB2312" w:hAnsi="仿宋_GB2312" w:eastAsia="仿宋_GB2312"/>
                <w:b w:val="0"/>
                <w:color w:val="000000"/>
                <w:sz w:val="32"/>
              </w:rPr>
              <w:t>全面投运年收入</w:t>
            </w:r>
          </w:p>
        </w:tc>
        <w:tc>
          <w:tcPr>
            <w:tcW w:type="dxa" w:w="6236"/>
          </w:tcPr>
          <w:p>
            <w:pPr>
              <w:spacing w:lineRule="exact" w:line="600"/>
              <w:jc w:val="center"/>
            </w:pPr>
            <w:r/>
            <w:r>
              <w:rPr>
                <w:rFonts w:ascii="仿宋_GB2312" w:hAnsi="仿宋_GB2312" w:eastAsia="仿宋_GB2312"/>
                <w:b w:val="0"/>
                <w:color w:val="000000"/>
                <w:sz w:val="32"/>
              </w:rPr>
              <w:t>约110,000（规划）</w:t>
            </w:r>
          </w:p>
        </w:tc>
      </w:tr>
      <w:tr>
        <w:tc>
          <w:tcPr>
            <w:tcW w:type="dxa" w:w="2551"/>
          </w:tcPr>
          <w:p>
            <w:pPr>
              <w:spacing w:lineRule="exact" w:line="600"/>
              <w:jc w:val="center"/>
            </w:pPr>
            <w:r/>
            <w:r>
              <w:rPr>
                <w:rFonts w:ascii="仿宋_GB2312" w:hAnsi="仿宋_GB2312" w:eastAsia="仿宋_GB2312"/>
                <w:b w:val="0"/>
                <w:color w:val="000000"/>
                <w:sz w:val="32"/>
              </w:rPr>
              <w:t>归母净利润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项目层面：2024年上网发电量7.48亿kWh、收入约2.62亿元（仅为一、二期并网口径，超预期11.57%），提示项目盈利能力良好；全部2GW投运后年均收入约11亿元。盈利稳定性依赖光照资源、消纳电价与运维成本；绿电直连模式锁定魏桥长期用电需求，收入确定性较高。</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无公开资产明细。重资产属性，资产以光伏组件、升压站、土地（租赁/流转）为主；注册资本8.12亿元支撑初期投资，项目总投资约90亿元主要依赖股东出资与银团借款。</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项目总投资约90亿元，注册资本8.12亿元，杠杆较高；融资以银团为主：工商银行滨州分行与上海分行组建行内银团，并联合中行、农行、建行形成行外银团，以电费应收账款质押模式提供金融支持，2023年12月完成首笔提款15.72亿元。偿债来源为电费应收账款，现金流稳定，但需关注利率与建设期资金平衡。</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经营现金流主要来自电费收入（魏桥全额消纳），稳定性较好；建设期资本开支大（约90亿元），依赖银团提款与股东出资，自由现金流阶段性为负。</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与山东省内大型光伏电站相比，宏烨2GW渔光互补单体规模居全国前列，且“绿电直连+全额消纳”模式在省内具示范意义；相较普通竞价上网电站，其锁定用电方（魏桥）的模式收入确定性更高。</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央企控股项目公司，设执行董事/总经理（张军）及职能管理部门；落实国家电投集团国资监管、“三重一大”集体决策与党委前置研究程序，党组织发挥领导作用。重大投资（如五期建设）按央企决策流程报批。</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法定代表人/负责人张军（2025年4月接任，原顾敏）；生产技术部主任胡乐盈、综合管理部主任殷熠明等公开见诸报道。管理团队具电力运营背景。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作为发电企业，建立安全生产、电力调度与合规内控体系；项目建设接受发改、能源、应急等部门监管，专班靠前服务代办手续。</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未公开披露具体人数；作为大型电站运营主体，应具电力生产、工程技术、运维人员；工商显示人员规模未公示（社保人数未列）。</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央企信用与资金优势：国家电投集团背书，融资成本低、信用强，注册资本8.12亿元并获工行银团15.72亿元首笔提款。二是资源壁垒：独占鲁北盐碱滩涂约6.5万亩土地与丰富光照，资源不可复制。三是模式创新：“绿电直连+全额消纳”点对点供应魏桥800万吨氧化铝基地，收入确定性高、溢价稳定。四是规模与示范：2GW单体规模居全国渔光互补前列，纳入鲁北千万千瓦级风光储输一体化基地，政策与品牌壁垒突出。五是生态协同：渔光互补+水产养殖+工业制盐立体开发，土地综合效益高。</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政策与电价风险：新能源电价政策、绿电直连规则调整可能影响收益；应对为锁定长期直供协议。二是客户集中风险：电力由魏桥全额消纳，若其用电需求或经营波动将影响收入；但魏桥为全球最大氧化铝基地、信用强，风险可控。三是建设进度风险：分五期压茬推进，三期曾于2026年4月并网，后续期次存在工期与并网不确定性。四是自然与运维风险：光伏组件衰减、盐碱环境腐蚀、极端天气影响发电；应对为抬高桩基、加强运维。五是资金风险：项目总投资约90亿元、杠杆较高，须关注银团提款节奏与利率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鉴于宏烨新能源为央企项目公司，主体信用强、融资主要依赖政策性及商业银团（工行等已介入），山东投资可作为夹层或协同方参与：保理业务：以电费应收账款开展保理，盘活已并网期次现金流。供应链金融：围绕光伏组件、逆变器、升压站设备供应商提供订单融资与票据贴现。融资租赁：对后续期次设备（逆变器、支架等）开展直租/回租。小贷：面向中小配套供应商短贷。建议以“电费应收保理+设备供应链金融”为切入点，联合银团形成多元融资结构，并关注项目资本金与并网进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沾化宏烨新能源（滨州市沾化区宏烨新能源有限公司）是国家电投集团在鲁北布局的2GW渔光互补“绿电直连”标杆项目公司，资源、模式、信用与规模优势突出，是滨州绿色能源装备集群核心运营主体；但项目总投资大、杠杆较高、客户集中。发展展望：据行业趋势与政策导向，“绿电直连”“源网荷储”是国家鼓励的新能源就近消纳模式，项目全部投运后年发电约30亿度、收入约11亿元，并支撑魏桥绿色铝转型。建议：一是以电费应收保理与设备供应链金融切入，联合银团协同；二是跟踪五期建设并网进度与电价政策；三是将安全、并网与消纳作为持续监测重点。</w:t>
      </w:r>
    </w:p>
    <w:p>
      <w:pPr>
        <w:spacing w:lineRule="exact" w:line="600" w:before="0" w:after="0"/>
        <w:jc w:val="left"/>
      </w:pPr>
      <w:r>
        <w:rPr>
          <w:rFonts w:ascii="仿宋_GB2312" w:hAnsi="仿宋_GB2312" w:eastAsia="仿宋_GB2312"/>
          <w:b w:val="0"/>
          <w:color w:val="000000"/>
          <w:sz w:val="28"/>
        </w:rPr>
        <w:t>数据来源说明：天眼查/企查查（工商、股权、增资与法定代表人变更）、滨州日报/滨州网、大众日报、新浪财经（2GW渔光互补项目、绿电直连、魏桥汇宏新材料）、工商银行滨州分行报道（银团15.72亿元首笔提款、2024年发电7.48亿kWh/收入2.62亿元）、沾化区政府官网。单体财务报表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