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潍坊高新区元宇宙特色产业集群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歌尔股份有限公司企业分析报告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（本报告数据来源于歌尔股份2021—2023年年度报告、东方财富/同花顺/环球网等公开数据。统计时点截至2023年年报。股票代码002241.SZ，深圳证券交易所主板上市。）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歌尔股份有限公司为深圳证券交易所主板上市公司，股票代码002241.SZ，成立于2001年6月25日，注册地址位于山东省潍坊市高新技术产业开发区，法定代表人为姜滨（董事长），总裁姜龙。注册资本约35.3亿元。实际控制人为姜滨、姜龙兄弟（姜滨通过歌尔集团持股15.64%等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股权结构：姜滨为实际控制人，歌尔集团有限公司为控股股东（持股约15.64%），姜滨直接持股约8.10%、姜龙约7.05%。属民营控股科技制造龙头。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公司下辖歌尔微电子、歌尔光学、怡力精密、青岛虚拟现实研究院等众多子公司，业务覆盖精密零组件、智能声学整机、智能硬件三大板块，全球布局研发与制造。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2001年成立，2008年上市；2012年布局VR/AR；2023年深入XR、车载光学，收购驭光科技；累计申请专利3.2万余项（发明专利1.7万+）。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定位为全球领先的声光电精密制造与XR（元宇宙）硬件龙头，主营精密零组件、智能声学整机、智能硬件（VR/AR头显、TWS耳机、智能穿戴等）。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2023年营收985.74亿元：智能硬件537.09亿元（占比59.56%，含VR/AR），智能声学整机241.85亿元（24.54%），精密零组件129.92亿元（13.18%）；境外收入占比87.72%。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VR/AR头显、TWS耳机、智能穿戴、游戏主机配件、MEMS麦克风等精密零组件。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核心大客户为国际头部消费电子与互联网企业（Meta、苹果、索尼、微软等），客户集中度高、绑定深。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供应链全球配置，芯片、光学元件等外采，与舜宇等形成光学协同。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潍坊光学产业园、歌尔光学上海研发中心；2023年研发投入45.73亿元，专利3.2万+；中高端VR头显全球出货份额超80%。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以大客户直供（ODM/OEM）为主，全球交付。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2023年营收985.74亿元（同比-6.03%），归母净利10.88亿元（同比-37.8%）；毛利率8.95%，境外占比87.72%；VR头显全球份额领先。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（一）近三年主要会计数据（单位：亿元）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2021年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782.21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1,048.94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985.74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42.75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17.49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10.88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14.13%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11.12%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8.95%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54.27%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60.79%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57.25%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85.98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83.17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81.52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2023年营收降6.03%、归母净利降37.8%，毛利率由14.13%降至8.95%，主因终端需求不足、VR出货下滑及低毛利智能硬件占比短期提升；但分季度毛利率由Q1约7%升至Q4近11%，盈利逐季改善。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资产以应收、存货、固定资产及无形资产（专利）为主；2023年计提资产减值17.97亿元，资产质量稳健但仍受客户与存货影响。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2023年末资产负债率57.25%（同比-3.54pct），货币现金147.4亿元，速动比率0.87、流动比率1.20，偿债能力良好。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2023年经营现金流净额81.52亿元，现金流健康；自由现金流-15.98亿元（资本开支较大）。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对标立讯精密、舜宇光学，歌尔在XR整机与声学代工具全球领先；盈利受大客户订单波动影响大于同业。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上市公司治理规范，设董事会（姜滨任董事长）、总裁姜龙，独立董事与审计体系完备。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姜滨（董事长）、姜龙（副董事长兼总裁）为创始人与核心管理者，技术背景深厚。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建立内控与质量体系，通过大客户审厂，管理国际化。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2023年员工约8.3万人（行业估算），研发人员占比高；研发投入45.73亿元。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一是XR整机全球龙头（中高端VR头显份额超80%）；二是声学精密制造与客户壁垒；三是3.2万+专利与持续高研发投入；四是“精密零组件+整机”垂直整合与全球交付能力。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消费电子与VR需求周期波动、元宇宙进展不及预期。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大客户集中（前五大客户占比高）、单一客户订单波动；贸易摩擦与地缘风险。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资本开支大、存货与应收规模高；2023年盈利下滑但偿债与现金流稳健。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出口管制、客户合规与环保为重点，公司体系完备。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拓展AI硬件/车载光学、收购驭光补强光学、降低单一客户依赖、控费提效。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①对上游供应商的供应链保理与票据贴现；②光学/精密制造设备融资租赁；③研发投入的项目贷款与产业基金；④海外基地建设的配套金融。山东投资可围绕“元宇宙硬件+精密制造”产业链提供综合金融。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歌尔股份是潍坊高新区元宇宙集群链主，全球XR与声学精密制造龙头，技术、客户与规模壁垒突出，但2023年受行业周期盈利承压、客户集中度高。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展望：AI与元宇宙新周期下，公司VR/AR、车载光学、AI硬件具弹性。建议持续强化光学自研（歌尔光学）、分散客户、稳健资本开支；山东投资以供应链金融与设备租赁支持其链主提质。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歌尔股份（002241.SZ）2021—2023年年度报告；东方财富、同花顺、环球网等公开数据；公司官网。财务数据以年报披露为准。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