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烟台市福山区高端装备制造(精密铸造)特色产业集群</w:t>
      </w:r>
    </w:p>
    <w:p>
      <w:pPr>
        <w:spacing w:lineRule="exact" w:line="600" w:before="240" w:after="240"/>
        <w:ind w:firstLine="0"/>
        <w:jc w:val="center"/>
      </w:pPr>
      <w:r>
        <w:rPr>
          <w:rFonts w:ascii="方正小标宋简体" w:hAnsi="方正小标宋简体" w:eastAsia="方正小标宋简体"/>
          <w:b w:val="0"/>
          <w:color w:val="000000"/>
          <w:sz w:val="44"/>
        </w:rPr>
        <w:t>烟台东星磁性材料股份有限公司企业分析报告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烟台东星磁性材料股份有限公司（原烟台首钢磁性材料股份有限公司）成立于2000年10月12日，法定代表人于大伟，统一社会信用代码91370000724996755M，企业类型为股份有限公司（中外合资、未上市），注册资本10,058.57万元（实缴10,058.57万元），注册地址位于山东省烟台市福山区永达街888号（一照多址），登记机关为烟台市市场监督管理局，经营状态为存续，营业期限无固定期限。参保人数约2,010人，人员规模1,000—4,999人。公司是“高性能烧结钕铁硼永磁材料—国家高技术产业化示范工程”实施单位，国内稀土磁材行业重要企业。</w:t>
      </w:r>
    </w:p>
    <w:p>
      <w:pPr>
        <w:spacing w:lineRule="exact" w:line="600" w:before="0" w:after="0"/>
        <w:ind w:firstLine="420"/>
        <w:jc w:val="both"/>
      </w:pPr>
      <w:r>
        <w:rPr>
          <w:rFonts w:ascii="仿宋_GB2312" w:hAnsi="仿宋_GB2312" w:eastAsia="仿宋_GB2312"/>
          <w:b w:val="0"/>
          <w:color w:val="000000"/>
          <w:sz w:val="32"/>
        </w:rPr>
        <w:t>股权结构：烟台东星集团有限公司持股约49.90%、株式会社安川电机（日本）持股约20%—30%、烟台首磁投资有限公司约13.05%、烟台磁王电子工业有限公司约10.95%、包头稀土研究院约5.27%、烟台市福山投资发展有限公司（区国资）约0.83%。属中日合资企业，无单一国有绝对控股股东；福山区财政局通过福山投资发展有限公司持股约0.83%，具一定国资成分。</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股份制企业，设董事长于大伟、总经理丁开鸿及董事会（含日方董事）；下属开发区分公司。业务涵盖烧结钕铁硼磁体的研发、制造、机加、表面处理与组件装配，并推进低重稀土磁材与钕铁硼废料绿色循环再利用，研发、生产、销售一体化。</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2000年10月成立（原烟台首钢磁性材料股份有限公司）；2008年4月与日本安川电机株式会社合资，变更为中日合资企业；引进德、日、美先进设备，建成磁体、机加、表面处理生产线；2023年扩产新增5,000吨磁体产能，2025年全面投产后烧结钕铁硼年产能达2万吨；低重稀土磁材项目（二期）2025年3月开工，总投资30亿元，建成全国最大独立单体稀土磁材工厂，具备配套350万辆新能源汽车能力，项目定位为国内稀土磁材行业规模最大的独立单体工厂。</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高性能烧结钕铁硼永磁材料国家高技术产业化示范工程实施单位、新能源汽车及节能电机用低重稀土磁材核心供应商。主营业务为磁性材料及其应用产品、粉末冶金制品的研制、开发、生产和销售及售后服务。核心产品为高性能烧结钕铁硼永磁材料（低重稀土磁材），应用于新能源汽车电机、永磁直驱风力发电机、空调压缩机电机、EPS电机、高端手机部品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烧结钕铁硼磁体为核心，向下游延伸至磁体机加、表面处理与组件装配；并推进钕铁硼废料绿色循环再利用。公司未公开披露分产品收入占比。公开报道：2021年营收约27亿元、2022年约48亿元（同比+70%）、2023年1—9月营收约31亿元（公开报道口径，非审计）。</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高性能烧结钕铁硼永磁材料（低重稀土磁材），具有高性能、高使用温度、高一致性、高耐腐蚀性、低失重特性，产品性能指标达到国内、国际先进水平；并提供磁体机加、表面处理与组件装配一体化服务，满足新能源汽车、风电等高端客户定制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客户覆盖新能源汽车、风电、消费电子等领域，已与大众、本田、蔚来、潍柴等国内外知名企业建立战略合作关系；产品广泛应用于新能源汽车电机、永磁直驱风力发电机等高端领域，客户结构优质、粘性较强。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稀土金属（镨钕、镝、铽等）、铁硼合金及辅料，原料价格受稀土供需与出口管制政策影响显著；公司通过低重稀土工艺降低重稀土用量50%以上，缓解成本与供给约束，并对冲稀土价格波动风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老厂2008年产能约6,400吨；2023年扩产新增5,000吨，2025年全面投产后烧结钕铁硼年产能达2万吨；低重稀土磁材项目（二期，总投资30亿元、占地约5万平方米、建筑面积4.6万平方米）建成全国最大独立单体工厂，具备配套350万辆新能源汽车能力，预计年新增销售收入约20亿元、新增就业960人。持有80余项专利、国家高技术产业化示范工程资质、ISO14064等认证，获山东省绿色制造/专精特新中小企业认定，技术与资质壁垒突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以主机厂与 Tier1 直销配套为主，依托中日合资技术背景与战略客户（大众、本田、蔚来、潍柴）就近供货，并拓展海外市场，渠道以战略客户直供为核心。</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中日合资企业，审计财务未公开披露；公开报道口径：2022年营业收入约48亿元、产量增长20%、利税总额增长169%，2023年1—9月营收约31亿元。2万吨产能与“配套350万辆新能源汽车”能力使其在国内稀土磁材行业居第一梯队，市场份额领先。</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烟台东星磁材为非上市中日合资企业，审计财务未公开披露；下表列公开报道口径经营数据（来源：百度百科引述公开报道），非审计数据，仅供参照，不作编造。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公开报道口径</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10,058.57万元（实缴10,058.57万元）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2000-10-12（2008年安川合资）</w:t>
            </w:r>
          </w:p>
        </w:tc>
      </w:tr>
      <w:tr>
        <w:tc>
          <w:tcPr>
            <w:tcW w:type="dxa" w:w="2551"/>
          </w:tcPr>
          <w:p>
            <w:pPr>
              <w:spacing w:lineRule="exact" w:line="600"/>
              <w:jc w:val="center"/>
            </w:pPr>
            <w:r/>
            <w:r>
              <w:rPr>
                <w:rFonts w:ascii="仿宋_GB2312" w:hAnsi="仿宋_GB2312" w:eastAsia="仿宋_GB2312"/>
                <w:b w:val="0"/>
                <w:color w:val="000000"/>
                <w:sz w:val="32"/>
              </w:rPr>
              <w:t>2021年营业收入</w:t>
            </w:r>
          </w:p>
        </w:tc>
        <w:tc>
          <w:tcPr>
            <w:tcW w:type="dxa" w:w="6236"/>
          </w:tcPr>
          <w:p>
            <w:pPr>
              <w:spacing w:lineRule="exact" w:line="600"/>
              <w:jc w:val="center"/>
            </w:pPr>
            <w:r/>
            <w:r>
              <w:rPr>
                <w:rFonts w:ascii="仿宋_GB2312" w:hAnsi="仿宋_GB2312" w:eastAsia="仿宋_GB2312"/>
                <w:b w:val="0"/>
                <w:color w:val="000000"/>
                <w:sz w:val="32"/>
              </w:rPr>
              <w:t>约27亿元（同比+52%）</w:t>
            </w:r>
          </w:p>
        </w:tc>
      </w:tr>
      <w:tr>
        <w:tc>
          <w:tcPr>
            <w:tcW w:type="dxa" w:w="2551"/>
          </w:tcPr>
          <w:p>
            <w:pPr>
              <w:spacing w:lineRule="exact" w:line="600"/>
              <w:jc w:val="center"/>
            </w:pPr>
            <w:r/>
            <w:r>
              <w:rPr>
                <w:rFonts w:ascii="仿宋_GB2312" w:hAnsi="仿宋_GB2312" w:eastAsia="仿宋_GB2312"/>
                <w:b w:val="0"/>
                <w:color w:val="000000"/>
                <w:sz w:val="32"/>
              </w:rPr>
              <w:t>2022年营业收入</w:t>
            </w:r>
          </w:p>
        </w:tc>
        <w:tc>
          <w:tcPr>
            <w:tcW w:type="dxa" w:w="6236"/>
          </w:tcPr>
          <w:p>
            <w:pPr>
              <w:spacing w:lineRule="exact" w:line="600"/>
              <w:jc w:val="center"/>
            </w:pPr>
            <w:r/>
            <w:r>
              <w:rPr>
                <w:rFonts w:ascii="仿宋_GB2312" w:hAnsi="仿宋_GB2312" w:eastAsia="仿宋_GB2312"/>
                <w:b w:val="0"/>
                <w:color w:val="000000"/>
                <w:sz w:val="32"/>
              </w:rPr>
              <w:t>约48亿元（同比+70%）</w:t>
            </w:r>
          </w:p>
        </w:tc>
      </w:tr>
      <w:tr>
        <w:tc>
          <w:tcPr>
            <w:tcW w:type="dxa" w:w="2551"/>
          </w:tcPr>
          <w:p>
            <w:pPr>
              <w:spacing w:lineRule="exact" w:line="600"/>
              <w:jc w:val="center"/>
            </w:pPr>
            <w:r/>
            <w:r>
              <w:rPr>
                <w:rFonts w:ascii="仿宋_GB2312" w:hAnsi="仿宋_GB2312" w:eastAsia="仿宋_GB2312"/>
                <w:b w:val="0"/>
                <w:color w:val="000000"/>
                <w:sz w:val="32"/>
              </w:rPr>
              <w:t>2023年1—9月营收</w:t>
            </w:r>
          </w:p>
        </w:tc>
        <w:tc>
          <w:tcPr>
            <w:tcW w:type="dxa" w:w="6236"/>
          </w:tcPr>
          <w:p>
            <w:pPr>
              <w:spacing w:lineRule="exact" w:line="600"/>
              <w:jc w:val="center"/>
            </w:pPr>
            <w:r/>
            <w:r>
              <w:rPr>
                <w:rFonts w:ascii="仿宋_GB2312" w:hAnsi="仿宋_GB2312" w:eastAsia="仿宋_GB2312"/>
                <w:b w:val="0"/>
                <w:color w:val="000000"/>
                <w:sz w:val="32"/>
              </w:rPr>
              <w:t>约31亿元</w:t>
            </w:r>
          </w:p>
        </w:tc>
      </w:tr>
      <w:tr>
        <w:tc>
          <w:tcPr>
            <w:tcW w:type="dxa" w:w="2551"/>
          </w:tcPr>
          <w:p>
            <w:pPr>
              <w:spacing w:lineRule="exact" w:line="600"/>
              <w:jc w:val="center"/>
            </w:pPr>
            <w:r/>
            <w:r>
              <w:rPr>
                <w:rFonts w:ascii="仿宋_GB2312" w:hAnsi="仿宋_GB2312" w:eastAsia="仿宋_GB2312"/>
                <w:b w:val="0"/>
                <w:color w:val="000000"/>
                <w:sz w:val="32"/>
              </w:rPr>
              <w:t>烧结钕铁硼产能</w:t>
            </w:r>
          </w:p>
        </w:tc>
        <w:tc>
          <w:tcPr>
            <w:tcW w:type="dxa" w:w="6236"/>
          </w:tcPr>
          <w:p>
            <w:pPr>
              <w:spacing w:lineRule="exact" w:line="600"/>
              <w:jc w:val="center"/>
            </w:pPr>
            <w:r/>
            <w:r>
              <w:rPr>
                <w:rFonts w:ascii="仿宋_GB2312" w:hAnsi="仿宋_GB2312" w:eastAsia="仿宋_GB2312"/>
                <w:b w:val="0"/>
                <w:color w:val="000000"/>
                <w:sz w:val="32"/>
              </w:rPr>
              <w:t>2万吨/年（2025全面投产）</w:t>
            </w:r>
          </w:p>
        </w:tc>
      </w:tr>
      <w:tr>
        <w:tc>
          <w:tcPr>
            <w:tcW w:type="dxa" w:w="2551"/>
          </w:tcPr>
          <w:p>
            <w:pPr>
              <w:spacing w:lineRule="exact" w:line="600"/>
              <w:jc w:val="center"/>
            </w:pPr>
            <w:r/>
            <w:r>
              <w:rPr>
                <w:rFonts w:ascii="仿宋_GB2312" w:hAnsi="仿宋_GB2312" w:eastAsia="仿宋_GB2312"/>
                <w:b w:val="0"/>
                <w:color w:val="000000"/>
                <w:sz w:val="32"/>
              </w:rPr>
              <w:t>审计利润数据</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审计盈利数据未公开披露。钕铁硼磁材单价高（约30—40万元/吨），2万吨产能对应收入规模大；低重稀土工艺降本50%以上提升毛利，但稀土价格周期波动影响盈利，需关注价格风险。</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无公开资产数据。重资产属性（磁体产线、机加/表面处理设备）占比高，与制造匹配；30亿元二期项目推升固定资产，资产以生产经营性资产为主。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无公开负债数据。30亿元项目资本开支大，预计依赖股东出资、银行融资与股权融资，需关注杠杆与偿债能力，控制财务风险。</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无公开现金流数据。项目建设与稀土原料采购对营运资金占用较大，需关注现金流与流动性管理。</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与国内稀土永磁企业（中科三环、宁波韵升、正海磁材、金力永磁等）相比，东星磁材以“2万吨产能+配套350万辆新能源车+安川合资技术”居第一梯队，低重稀土工艺具成本与合规优势，产能与规模壁垒突出。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股份有限公司（中外合资、未上市），设董事长于大伟、总经理丁开鸿及含日方董事的董事会，治理规范；落实合资企业内控与合规（含出口管制合规声明），治理国际化程度高。</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董事长于大伟；总经理丁开鸿；副总经理付连宝（公开报道）。核心团队行业经验丰富，中日双方协同治理，战略执行连贯。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建有市级工程实验室、市级一企一技术中心、烟台市工业设计中心等研发平台；通过ISO14064等认证；作为稀土材料企业须落实出口管制合规与环保内控，内控制度较完备。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参保约2,010人（2025年报口径），人员规模大，以生产与技术工人为主；研发人员支撑80余项专利，人力结构支撑规模化制造与持续创新。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工艺壁垒：国家高技术产业化示范工程，80余项专利，低重稀土工艺降本50%以上、性能达国际先进。二是产能与地位：2万吨产能、全国最大独立单体工厂、配套350万辆新能源车，规模壁垒突出。三是客户与合资：与大众、本田、蔚来、潍柴战略合作，安川电机合资带来技术与质量背书。四是资源与循环：推进钕铁硼废料绿色循环再利用，契合“双碳”与资源安全。五是政策契合：新能源汽车、风电、低重稀土均属国家战略方向，政策支持强，发展环境优良。</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稀土价格与供给风险：原料受稀土行情与出口管制政策影响，价格波动大；应对为低重稀土工艺与废料循环降本。二是行业周期风险：新能源汽车与风电需求波动影响订单；应对为多元客户。三是客户集中风险：依赖少数战略车企，订单波动影响大。四是资金风险：30亿元项目资本开支大，现金流承压，需统筹融资。五是合规风险：稀土材料涉及出口管制，须持续合规管理（公司已发布出口管制合规政策声明），防范合规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车企（大众、本田、蔚来、潍柴）的应收账款可开展保理。供应链金融：围绕核心客户做订单融资、票据贴现。融资租赁：低重稀土磁材项目（30亿元）设备投资巨大，适合新购设备直租/回租，山东投资可重点对接。小贷：面向上下游中小配套企业短贷。鉴于企业规模大、客户优质、政策契合，可作为重点客户，但须关注项目资本金与现金流，以增信控制风险，优选设备融资租赁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烟台东星磁材是福山精密铸造与高端装备集群的稀土永磁龙头，2万吨产能、低重稀土工艺与安川合资技术构筑强壁垒，客户优质、政策契合；但审计财务不透明、30亿元项目资本开支大、受稀土周期与出口管制影响。发展展望：据行业趋势与政策导向，新能源汽车与风电对高性能磁材需求高增长，二期项目全面达产后成长空间巨大。建议：一是对接项目设备融资租赁与核心客户应收保理；二是授信前评估项目资本金与现金流，设增信；三是关注稀土价格、出口管制与产能消化风险，设置动态监测。</w:t>
      </w:r>
    </w:p>
    <w:p>
      <w:pPr>
        <w:spacing w:lineRule="exact" w:line="600" w:before="0" w:after="0"/>
        <w:jc w:val="left"/>
      </w:pPr>
      <w:r>
        <w:rPr>
          <w:rFonts w:ascii="仿宋_GB2312" w:hAnsi="仿宋_GB2312" w:eastAsia="仿宋_GB2312"/>
          <w:b w:val="0"/>
          <w:color w:val="000000"/>
          <w:sz w:val="28"/>
        </w:rPr>
        <w:t>数据来源说明：天眼查/爱企查（工商、股权、参保、专利）、公司官网 ysm.com.cn（示范工程与产能）、烟台日报/大小新闻（低重稀土磁材项目投产与扩产报道）、中国粉体网/大众网（30亿元项目开工）、百度百科（公开报道营收口径）。审计财务未公开披露，已说明并采用公开报道口径参照。</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