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烟台市福山区高端装备制造(精密铸造)特色产业集群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烟台艾迪精密机械股份有限公司企业分析报告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艾迪精密机械股份有限公司成立于2003年8月6日，法定代表人宋飞，统一社会信用代码91370600752684994W，企业类型为股份有限公司（中外合资、上市），注册资本83,108.881万元，注册地址位于中国（山东）自由贸易试验区烟台片区秦淮河路189号（办公地址长江路356号），登记机关为烟台市市场监督管理局，经营状态为存续。公司股票于2017年1月20日在上海证券交易所上市，股票代码603638，证券简称“艾迪精密”。2024年末前十大股东持股75.35%，控股股东及实际控制人为宋飞家族（宋飞、冯晓鸿、宋宇轩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股权结构：前十大股东中FENG XIAO HONG持股23.54%、SONG YU XUAN与烟台翔宇投资各持股17.66%、温雷4.53%、烟台浩银投资中心4.36%、中融（香港）2.06%、烟台君平投资1.69%、宋飞1.36%、刁书枝1.20%等；实际控制人为宋飞家族。属民营控股上市公司，治理规范、信息披露透明。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控股型集团，下辖多家全资子公司：烟台艾迪液压科技有限公司、烟台奥朗机械科技有限公司（即艾迪奥朗，液压属具与精密铸造）、烟台艾创机器人科技有限公司、烟台艾迪锐能超硬刀具有限公司、邵阳中旺工程机械设备有限公司、亿恩新动力科技（山东）有限公司、艾迪精密（泰国）有限公司等，业务覆盖液压件、破碎锤、属具、机器人、新能源动力等领域，集团化、多元化经营架构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2003年8月公司成立，专注液压破碎锤与液压件研发制造；2017年1月登陆上交所；持续通过自主研发与并购扩张，形成“液压破碎锤+高端液压件”双主业，并延伸工程机械属具、机器人、新能源动力等业务；2024年营收27.25亿元、归母净利润3.44亿元，2025年营收进一步增至31.96亿元、归母净利润3.94亿元，成长为工程机械液压件领域龙头企业，福山精密铸造集群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工程机械液压技术领先企业、福山精密铸造与高端装备制造集群链主。主营业务为液压动力机械及元件、工程机械属具、建筑工程用机械的研发制造销售，以及工业机器人、新材料技术研发等。核心产品为液压破碎锤、高端液压件（液压马达、主阀、行走/回转马达等），应用于挖掘机、装载机、高空作业平台、农机等工程机械，并拓展属具、机器人、新能源动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收入31.96亿元（含其他），其中机械收入31.32亿元（占比98.00%）：液压件收入20.81亿元（占比65.10%）、液压破碎锤收入8.51亿元（占比26.62%）、其他产品2.01亿元（6.28%）；境内收入26.34亿元（82.41%）、境外收入4.98亿元（15.59%）。业务由“液压件+破碎锤”双轮驱动，液压件占比持续提升，成为主要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液压破碎锤（工程机械属具）、高端液压件（液压马达、多路阀、主泵、行走/回转马达等），覆盖微小挖、中大挖、超大挖及高空作业平台、装载机、农机等多场景全系列液压件；并拓展工程机械属具、工业机器人、超硬刀具、新能源动力（亿恩新动力）等，产品矩阵完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工程机械主机厂与后市场，客户覆盖国内外挖掘机、装载机等主机厂及经销商体系，产品出口欧美等海外市场（境外收入占比约15.6%）；液压件板块逆势增长，进入国内外主流主机厂供应链，客户结构优化、海外占比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生产所需主要原料为钢材、铸件（精密铸造由艾迪奥朗配套）、液压元器件、密封件等，原料价格受钢铁与大宗行情影响；公司纵向一体化（自配套精密铸造）增强成本与质量掌控，降低对外协依赖。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8.31亿元，2024年末总资产68.60亿元；拥有完整液压件与破碎锤产线，精密铸造由全资子公司艾迪奥朗配套；2024年研发投入1.37亿元（占营收5.02%），持有专利与核心技术；获高新技术企业、国家级专精特新“小巨人”等资质，烟台市福山精密铸造集群链主，产能与技术水平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以主机厂配套直销与后市场经销并重，国内外营销网络健全；泰国基地布局海外产能，提升全球交付与抗贸易风险能力，渠道全球化布局稳步推进。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总收入27.25亿元（同比+21.90%）、归母净利润3.44亿元（同比+23.50%）；2025年营收31.96亿元、归母净利润3.94亿元，持续增长。液压件板块2025年前三季度逆势增长56%，市场份额不断提升，居工程机械液压件领域前列，进口替代进程加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烟台艾迪精密为A股上市公司（603638），财务数据来自2022—2024年年度报告（巨潮资讯网/天职国际审计）及2025年业绩快报，单位：元。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2,024,993,187.91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2,235,396,716.50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2,724,860,243.65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249,301,362.82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278,649,657.53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344,134,746.51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221,238,538.72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253,522,602.81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323,900,946.16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159,915,946.96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11,610,986.84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155,498,609.69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6,859,807,618.48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3,130,404,193.18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3,328,831,784.42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3,410,544,982.31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29.49%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48.12%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ROE（加权）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9.97%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营收由2022年20.25亿元增至2024年27.25亿元（CAGR约16%），归母净利润由2.49亿元增至3.44亿元；2024年毛利率29.49%、净利率12.61%、加权ROE 9.97%，盈利质量稳健；2025年营收31.96亿元、归母净利润3.94亿元，延续增长。液压件板块逆势高增（2025前三季+56%）成为核心动力，产品结构持续优化。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2024年末总资产68.60亿元，其中固定资产与在建工程（产能扩张）占比较大；归母净资产34.11亿元，资产结构以经营性资产为主，质量扎实，重资产属性与制造定位匹配。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2024年末资产负债率48.12%（同比+4.66个百分点），有息负债约18.52亿元、有息负债率56.11%；流动比率1.66、速动比率1.14，短期偿债能力尚可，但杠杆与有息负债规模随扩张上升，需关注。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2024年经营活动现金流净额1.55亿元（同比大增1,239%，2023年仅0.12亿元），净利润现金含量45.24%，回款与经营质量改善；但销售现金比率仅5.71%，应收占款仍较大，需持续关注现金流质量。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与工程机械液压件同业相比，艾迪精密毛利率（约29.5%）处于较好水平，液压件市占率持续提升；但资产负债率（48%）高于部分轻资产 peers，有息负债规模需动态跟踪，整体盈利与资产质量优于行业中位。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上市公众公司，设董事会、监事会及管理层，2024年报由天职国际出具标准无保留意见；实际控制人宋飞家族，前十大股东持股集中（75.35%）；落实关联交易、担保与信息披露合规，治理规范。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董事长兼总经理宋飞；董事会秘书、副总经理李娇云；主管会计工作负责人钟志平。核心团队长期稳定，深耕液压技术，战略执行连贯。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建立符合上市公司的内控与审计体系，子公司（艾迪液压、奥朗科技、艾创科技等）一体化管控；获高新技术企业等资质，研发与质量体系规范，内控有效。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2024年参保约1,546人（天眼查口径），人员规模1,000—4,999人；研发人员占比随研发投入（1.37亿元、5.02%）提升，技术与产业工人储备充足，支撑持续创新与扩产。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产品壁垒：高端液压件（马达、主阀、泵）技术门槛高，液压破碎锤国内领先，纵向一体化（自配套精密铸造）强化成本与质量。二是规模与份额：营收超30亿元，液压件市占率持续提升，居行业前列。三是客户与品牌：进入国内外主流主机厂供应链，出口欧美，品牌认可度高。四是研发与资质：研发占比5.02%、国家级专精特新“小巨人”、高新技术企业，技术迭代能力强。五是产业链协同：旗下液压、属具、机器人、新能源动力多板块协同，抗周期能力提升，生态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工程机械强周期，需求受基建、地产与出口影响，历史上波动明显；应对为多元化产品与海外市场。二是盈利与现金流风险：2023年经营现金流转弱、应收占款大，需强化回款。三是有息负债风险：资产负债率上行、有息负债约18.5亿元，扩产带来偿债压力。四是客户与贸易风险：出口占比约16%，受贸易摩擦与汇率影响。五是技术迭代风险：电动化、智能化对液压件需求结构变化，须持续研发保持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主机厂及海外客户的应收账款可开展保理，改善现金流（2023年现金流转弱即为痛点）。供应链金融：依托链主地位，为上游精密铸造/零部件供应商、下游经销商提供订单与存货融资。融资租赁：液压件与破碎锤智能产线设备适合直租/回租。小贷：面向上下游中小配套企业短贷。艾迪精密为规范上市龙头、资质优良，建议以“应收保理+设备融资租赁+供应链金融”组合切入，额度匹配其规模并设置动态监测，风险可控、收益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烟台艾迪精密是福山精密铸造与高端装备制造集群链主、工程机械液压件领域龙头，技术、规模、客户与产业链协同全面领先，财务稳健增长；但有息负债上行、应收占款较大、受行业周期影响。发展展望：据公司规划与行业趋势，液压件国产化替代与工程机械电动化、智能化推动需求增长，液压件板块高增将驱动持续成长。建议：一是对接应收保理与设备融资租赁；二是关注有息负债与现金流，设增信与监测；三是围绕供应链金融服务上下游，形成批量低风险资产，深化产融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数据来源说明：艾迪精密2022—2024年年度报告（巨潮资讯网）、2025年业绩快报、天职国际审计报告、东方财富/同花顺F10、新浪财经/界面新闻（年报解读）、天眼查（工商与股权）。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