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烟台市蓬莱区海洋工程特色产业集群</w:t>
      </w:r>
    </w:p>
    <w:p>
      <w:pPr>
        <w:spacing w:lineRule="exact" w:line="600" w:before="240" w:after="240"/>
        <w:ind w:firstLine="0"/>
        <w:jc w:val="center"/>
      </w:pPr>
      <w:r>
        <w:rPr>
          <w:rFonts w:ascii="方正小标宋简体" w:hAnsi="方正小标宋简体" w:eastAsia="方正小标宋简体"/>
          <w:b w:val="0"/>
          <w:color w:val="000000"/>
          <w:sz w:val="44"/>
        </w:rPr>
        <w:t>蓬莱中柏京鲁船业有限公司企业分析报告</w:t>
      </w:r>
    </w:p>
    <w:p>
      <w:pPr>
        <w:spacing w:lineRule="exact" w:line="600" w:before="0" w:after="0"/>
        <w:jc w:val="left"/>
      </w:pPr>
      <w:r>
        <w:rPr>
          <w:rFonts w:ascii="仿宋_GB2312" w:hAnsi="仿宋_GB2312" w:eastAsia="仿宋_GB2312"/>
          <w:b w:val="0"/>
          <w:color w:val="000000"/>
          <w:sz w:val="28"/>
        </w:rPr>
        <w:t>（本报告数据来源于蓬莱中柏京鲁船业有限公司工商信息（天眼查/企查查/启信宝）、烟台市贸促会/中国国际商会烟台商会公开介绍、公司官网（jinglushipyard.com）及行业媒体报道。该公司为国有控股船舶修造企业，财务数据未单独披露，已在文中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蓬莱中柏京鲁船业有限公司成立于2006年4月12日，法定代表人陈伟，注册资本43,000万元人民币（已实缴），统一社会信用代码91370600787183110U，注册地址为山东省烟台市蓬莱区北沟镇烽台北路1号。企业类型为其他有限责任公司，属铁路、船舶、航空航天和其他运输设备制造业（金属船舶制造），员工约4,000余人，是国有控股现代化船舶修造企业。</w:t>
      </w:r>
    </w:p>
    <w:p>
      <w:pPr>
        <w:spacing w:lineRule="exact" w:line="600" w:before="0" w:after="0"/>
        <w:ind w:firstLine="420"/>
        <w:jc w:val="both"/>
      </w:pPr>
      <w:r>
        <w:rPr>
          <w:rFonts w:ascii="仿宋_GB2312" w:hAnsi="仿宋_GB2312" w:eastAsia="仿宋_GB2312"/>
          <w:b w:val="0"/>
          <w:color w:val="000000"/>
          <w:sz w:val="32"/>
        </w:rPr>
        <w:t>公司股东：山东融发腾达产业发展集团有限公司（持股51%，其上层为青岛军民融合发展集团有限公司，国有背景）、蓬莱京鲁渔业有限公司（持股49%，自然人王轰持股96%）。公司为国有的控股结构，兼具军工/军民融合与民营渔业股东背景。</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公司设董事长（陈伟）及经营管理层，内部涵盖船舶设计、制造、修理、海洋工程装备及配套业务。作为国有控股企业，治理纳入国资监管与集团管控框架。</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成立于2006年4月，是以船舶及海洋工程装备修造为主营业务的国有控股企业。经多年发展，成为第一批符合工信部"船舶行业规范条件"的企业（一级一类），被原农业部渔业船舶检验局授予国内唯一"远洋渔船建造与技术示范基地"。</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国有控股、军民融合的现代化船舶修造基地，具备30万吨级船舶与海洋工程装备修造能力。主营业务：船舶制造、修理、设计与销售，海洋工程装备制造，渔业机械，港口货物装卸等。新造船覆盖化学品船（MR）、散货船、集装箱船、远洋渔船（秋刀鱼/鱿鱼钓船、金枪鱼围网船）等。</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公司业务含新造船、船舶维修改装、海洋工程装备三大板块，财务未单独披露分业务收入。新造船以散货船、化学品船、集装箱船、远洋渔船为主；维修改装可承接20万吨以下各类船舶。</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50,000载重吨化学品船（MR）、22,200载重吨散装水泥运输船、82,000/76,000/64,000载重吨散货船、31,000载重吨化学品船、3,000TEU/1,800TEU/1,400TEU集装箱船、77米秋刀鱼/鱿鱼钓船、1,800总吨美式金枪鱼围网船等；维修改装覆盖20万吨以下船舶。其中76,000载重吨散货船入选英国皇家造船工程师学会（RINA）"2022年度杰出船型世界名船录"。</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新造船客户为国内外航运公司、渔业企业与船东（如WILMAR等）；维修改装客户为各类船东。客户以项目制、长周期为主，部分产品出口。</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上游为船用钢板、主机/辅机、舾装件及设备系统。公司地处蓬莱，配套产业链较完善。具体供应商未披露。</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占地面积100万平方米，年生产能力100万载重吨。拥有300,000吨级干船坞1座，35,000吨/6,300吨/5,000吨举力浮船坞各1座，舾装码头总长约3,000米，配备1,000吨与500吨造船门式起重机。具备一级一类船舶建造资质、国内唯一"远洋渔船建造与技术示范基地"称号，并拥有32项资质证书。</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以直销+船东定制为主，依托"京鲁船业"品牌与示范基地资质获取国内外订单，远洋渔船领域具独特渠道优势。</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公司年产能100万载重吨，员工4,000余人，是国内重要的国有控股造船基地。在远洋渔船建造领域为国内唯一示范基地，细分市场地位突出；散货船、化学品船等亦具竞争力。具体近年营收未单独披露。</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蓬莱中柏京鲁船业有限公司为国有控股非上市企业，财务数据未单独对外披露。公开渠道可获取工商信息（注册资本4.3亿元、实缴4.3亿元、人员规模标注不一，企业介绍称员工4,000余人）。公司单体营业收入、净利润等未公开，故不列示具体数值，特此如实标注。</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因单体财务未披露，盈利情况无法精确评估。船舶行业近年景气回升（集装箱船、散货船、气体船需求旺盛），公司产能利用率与盈利有望改善，但造船周期长、钢价与汇率波动影响利润。</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公司资产以船坞、浮船坞、舾装码头、起重设备、厂房等重型固定资产为主，资产规模大、专用性强。</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单体负债与偿债能力未披露。作为国有控股企业，信用依托国资股东与银行授信，融资能力较强。</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单体经营现金流未单独披露。造船业务前期垫资大、回款按节点，对营运资金管理能力要求高。</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由于单体财务未公开，难以直接对标。从行业看，具备30万吨级船坞与完整造船能力的企业固定资产周转与毛利率随船市周期波动，国企背景在接单与融资上具优势。</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公司为国有控股有限责任公司，设股东会、董事会（董事长陈伟）及经营管理层，治理纳入国资监管框架，执行"三重一大"决策制度与党建工作要求。</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法定代表人、董事长陈伟；主要人员含王轰（蓬莱京鲁渔业实控人）等。管理层具船舶修造与渔业装备行业资深背景。</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公司执行船舶行业规范条件与质量管理体系（如ISO、船级社规范），国有控股属性下党建与"三重一大"、安全生产、反腐内控为重点。</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公司员工4,000余人，其中专业人才500余人，专业涵盖船舶修造各环节，采用国际领先设计软件与精度控制软件，人才储备充足。</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1. 资质与牌照壁垒：一级一类船舶建造资质、国内唯一"远洋渔船建造与技术示范基地"，准入门槛高。</w:t>
      </w:r>
    </w:p>
    <w:p>
      <w:pPr>
        <w:spacing w:lineRule="exact" w:line="600" w:before="0" w:after="0"/>
        <w:ind w:firstLine="420"/>
        <w:jc w:val="both"/>
      </w:pPr>
      <w:r>
        <w:rPr>
          <w:rFonts w:ascii="仿宋_GB2312" w:hAnsi="仿宋_GB2312" w:eastAsia="仿宋_GB2312"/>
          <w:b w:val="0"/>
          <w:color w:val="000000"/>
          <w:sz w:val="32"/>
        </w:rPr>
        <w:t>2. 硬件规模：30万吨级干船坞、多座浮船坞、3,000米舾装码头、千吨级门吊，年产能100万载重吨。</w:t>
      </w:r>
    </w:p>
    <w:p>
      <w:pPr>
        <w:spacing w:lineRule="exact" w:line="600" w:before="0" w:after="0"/>
        <w:ind w:firstLine="420"/>
        <w:jc w:val="both"/>
      </w:pPr>
      <w:r>
        <w:rPr>
          <w:rFonts w:ascii="仿宋_GB2312" w:hAnsi="仿宋_GB2312" w:eastAsia="仿宋_GB2312"/>
          <w:b w:val="0"/>
          <w:color w:val="000000"/>
          <w:sz w:val="32"/>
        </w:rPr>
        <w:t>3. 细分冠军：远洋渔船建造技术国内领先，秋刀鱼/鱿鱼钓船、金枪鱼围网船具独特优势。</w:t>
      </w:r>
    </w:p>
    <w:p>
      <w:pPr>
        <w:spacing w:lineRule="exact" w:line="600" w:before="0" w:after="0"/>
        <w:ind w:firstLine="420"/>
        <w:jc w:val="both"/>
      </w:pPr>
      <w:r>
        <w:rPr>
          <w:rFonts w:ascii="仿宋_GB2312" w:hAnsi="仿宋_GB2312" w:eastAsia="仿宋_GB2312"/>
          <w:b w:val="0"/>
          <w:color w:val="000000"/>
          <w:sz w:val="32"/>
        </w:rPr>
        <w:t>4. 国资与军民融合背景：国有控股+青岛军民融合股东，信用与资源协同强。</w:t>
      </w:r>
    </w:p>
    <w:p>
      <w:pPr>
        <w:spacing w:lineRule="exact" w:line="600" w:before="0" w:after="0"/>
        <w:ind w:firstLine="420"/>
        <w:jc w:val="both"/>
      </w:pPr>
      <w:r>
        <w:rPr>
          <w:rFonts w:ascii="仿宋_GB2312" w:hAnsi="仿宋_GB2312" w:eastAsia="仿宋_GB2312"/>
          <w:b w:val="0"/>
          <w:color w:val="000000"/>
          <w:sz w:val="32"/>
        </w:rPr>
        <w:t>5. 品牌与船型：多型船入选国际名船录，国际船东认可度高。</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1. 船舶周期风险：新造船需求与运价、航运周期高度相关，景气度波动影响订单与利润。</w:t>
      </w:r>
    </w:p>
    <w:p>
      <w:pPr>
        <w:spacing w:lineRule="exact" w:line="600" w:before="0" w:after="0"/>
        <w:ind w:firstLine="420"/>
        <w:jc w:val="both"/>
      </w:pPr>
      <w:r>
        <w:rPr>
          <w:rFonts w:ascii="仿宋_GB2312" w:hAnsi="仿宋_GB2312" w:eastAsia="仿宋_GB2312"/>
          <w:b w:val="0"/>
          <w:color w:val="000000"/>
          <w:sz w:val="32"/>
        </w:rPr>
        <w:t>2. 成本与汇率风险：钢材价格、汇率波动影响造船成本与出口毛利。</w:t>
      </w:r>
    </w:p>
    <w:p>
      <w:pPr>
        <w:spacing w:lineRule="exact" w:line="600" w:before="0" w:after="0"/>
        <w:ind w:firstLine="420"/>
        <w:jc w:val="both"/>
      </w:pPr>
      <w:r>
        <w:rPr>
          <w:rFonts w:ascii="仿宋_GB2312" w:hAnsi="仿宋_GB2312" w:eastAsia="仿宋_GB2312"/>
          <w:b w:val="0"/>
          <w:color w:val="000000"/>
          <w:sz w:val="32"/>
        </w:rPr>
        <w:t>3. 项目执行风险：大型船舶建造存在工期延误、成本超支与质量索赔风险。</w:t>
      </w:r>
    </w:p>
    <w:p>
      <w:pPr>
        <w:spacing w:lineRule="exact" w:line="600" w:before="0" w:after="0"/>
        <w:ind w:firstLine="420"/>
        <w:jc w:val="both"/>
      </w:pPr>
      <w:r>
        <w:rPr>
          <w:rFonts w:ascii="仿宋_GB2312" w:hAnsi="仿宋_GB2312" w:eastAsia="仿宋_GB2312"/>
          <w:b w:val="0"/>
          <w:color w:val="000000"/>
          <w:sz w:val="32"/>
        </w:rPr>
        <w:t>4. 股权结构风险：国有与民营股东混合，需平衡治理与决策效率。公司应对措施：优化产品结构、拓展高附加值船型（化学品船、气体船）、强化成本与交付管理、发挥示范基地品牌。</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1. 供应链金融：船用设备与钢板采购、船舶预付款退款保函等可开展保理与保函融资。</w:t>
      </w:r>
    </w:p>
    <w:p>
      <w:pPr>
        <w:spacing w:lineRule="exact" w:line="600" w:before="0" w:after="0"/>
        <w:ind w:firstLine="420"/>
        <w:jc w:val="both"/>
      </w:pPr>
      <w:r>
        <w:rPr>
          <w:rFonts w:ascii="仿宋_GB2312" w:hAnsi="仿宋_GB2312" w:eastAsia="仿宋_GB2312"/>
          <w:b w:val="0"/>
          <w:color w:val="000000"/>
          <w:sz w:val="32"/>
        </w:rPr>
        <w:t>2. 融资租赁：船坞设备、起重机械适合以融资租赁优化资本开支。</w:t>
      </w:r>
    </w:p>
    <w:p>
      <w:pPr>
        <w:spacing w:lineRule="exact" w:line="600" w:before="0" w:after="0"/>
        <w:ind w:firstLine="420"/>
        <w:jc w:val="both"/>
      </w:pPr>
      <w:r>
        <w:rPr>
          <w:rFonts w:ascii="仿宋_GB2312" w:hAnsi="仿宋_GB2312" w:eastAsia="仿宋_GB2312"/>
          <w:b w:val="0"/>
          <w:color w:val="000000"/>
          <w:sz w:val="32"/>
        </w:rPr>
        <w:t>3. 产业基金/股权投资：山东投资可围绕蓬莱船舶与海工装备产业链，支持其绿色智能船舶与远洋渔船升级。</w:t>
      </w:r>
    </w:p>
    <w:p>
      <w:pPr>
        <w:spacing w:lineRule="exact" w:line="600" w:before="0" w:after="0"/>
        <w:ind w:firstLine="420"/>
        <w:jc w:val="both"/>
      </w:pPr>
      <w:r>
        <w:rPr>
          <w:rFonts w:ascii="仿宋_GB2312" w:hAnsi="仿宋_GB2312" w:eastAsia="仿宋_GB2312"/>
          <w:b w:val="0"/>
          <w:color w:val="000000"/>
          <w:sz w:val="32"/>
        </w:rPr>
        <w:t>4. 小贷/过桥：针对造船节点回款前的垫资，可提供合规短期流动性，须严格评估船东信用与在建船抵押。</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京鲁船业是蓬莱海洋工程集群的国有控股造船骨干，拥有30万吨级船坞、国内唯一远洋渔船示范基地与完整造船能力，细分市场地位突出；作为非上市国企，单体财务未披露，但国资背景与硬件规模赋予其较强抗风险能力。</w:t>
      </w:r>
    </w:p>
    <w:p>
      <w:pPr>
        <w:spacing w:lineRule="exact" w:line="600" w:before="0" w:after="0"/>
        <w:ind w:firstLine="420"/>
        <w:jc w:val="both"/>
      </w:pPr>
      <w:r>
        <w:rPr>
          <w:rFonts w:ascii="仿宋_GB2312" w:hAnsi="仿宋_GB2312" w:eastAsia="仿宋_GB2312"/>
          <w:b w:val="0"/>
          <w:color w:val="000000"/>
          <w:sz w:val="32"/>
        </w:rPr>
        <w:t>发展展望：据行业趋势，全球船舶更新与绿色化（双燃料、智能船）需求增长，公司可凭借产能与资质承接高附加值订单；蓬莱海工产业集聚亦利好其海工装备业务拓展。</w:t>
      </w:r>
    </w:p>
    <w:p>
      <w:pPr>
        <w:spacing w:lineRule="exact" w:line="600" w:before="0" w:after="0"/>
        <w:ind w:firstLine="420"/>
        <w:jc w:val="both"/>
      </w:pPr>
      <w:r>
        <w:rPr>
          <w:rFonts w:ascii="仿宋_GB2312" w:hAnsi="仿宋_GB2312" w:eastAsia="仿宋_GB2312"/>
          <w:b w:val="0"/>
          <w:color w:val="000000"/>
          <w:sz w:val="32"/>
        </w:rPr>
        <w:t>建议：一是融资以供应链金融+融资租赁为主，辅以产业基金支持绿色智能船型升级；二是山东投资可围绕蓬莱海工/船舶集群开展协同；三是关注船市周期与汇率风险，对相关授信设置在建船抵押与回款节点控制。</w:t>
      </w:r>
    </w:p>
    <w:p>
      <w:pPr>
        <w:spacing w:lineRule="exact" w:line="600" w:before="120" w:after="120"/>
        <w:ind w:firstLine="420"/>
        <w:jc w:val="left"/>
      </w:pPr>
      <w:r>
        <w:rPr>
          <w:rFonts w:ascii="楷体_GB2312" w:hAnsi="楷体_GB2312" w:eastAsia="楷体_GB2312"/>
          <w:b w:val="0"/>
          <w:color w:val="000000"/>
          <w:sz w:val="32"/>
        </w:rPr>
        <w:t>（附）数据来源说明</w:t>
      </w:r>
    </w:p>
    <w:p>
      <w:pPr>
        <w:spacing w:lineRule="exact" w:line="600" w:before="0" w:after="0"/>
        <w:ind w:firstLine="420"/>
        <w:jc w:val="both"/>
      </w:pPr>
      <w:r>
        <w:rPr>
          <w:rFonts w:ascii="仿宋_GB2312" w:hAnsi="仿宋_GB2312" w:eastAsia="仿宋_GB2312"/>
          <w:b w:val="0"/>
          <w:color w:val="000000"/>
          <w:sz w:val="32"/>
        </w:rPr>
        <w:t>本报告使用数据来源：蓬莱中柏京鲁船业有限公司工商信息（天眼查/企查查/启信宝）、烟台市贸促会/中国国际商会烟台商会企业介绍、公司官网（jinglushipyard.com）及行业媒体报道。单体财务未披露事项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