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烟台市黄渤海新区生物医药特色产业集群</w:t>
      </w:r>
    </w:p>
    <w:p>
      <w:pPr>
        <w:spacing w:lineRule="exact" w:line="600" w:before="240" w:after="240"/>
        <w:ind w:firstLine="0"/>
        <w:jc w:val="center"/>
      </w:pPr>
      <w:r>
        <w:rPr>
          <w:rFonts w:ascii="方正小标宋简体" w:hAnsi="方正小标宋简体" w:eastAsia="方正小标宋简体"/>
          <w:b w:val="0"/>
          <w:color w:val="000000"/>
          <w:sz w:val="44"/>
        </w:rPr>
        <w:t>烟台东诚药业集团股份有限公司企业分析报告</w:t>
      </w:r>
    </w:p>
    <w:p>
      <w:pPr>
        <w:spacing w:lineRule="exact" w:line="600" w:before="0" w:after="0"/>
        <w:jc w:val="left"/>
      </w:pPr>
      <w:r>
        <w:rPr>
          <w:rFonts w:ascii="仿宋_GB2312" w:hAnsi="仿宋_GB2312" w:eastAsia="仿宋_GB2312"/>
          <w:b w:val="0"/>
          <w:color w:val="000000"/>
          <w:sz w:val="28"/>
        </w:rPr>
        <w:t>（本报告数据来源于东诚药业2022—2024年年度报告、深交所公告、巨潮网、东方财富、同花顺、公司官网及中证网/中国证券报/新浪财经等权威媒体报道，以及控股子公司蓝纳成港股招股相关公开信息。统计时点截至2024年年度报告及2025—2026年公开信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烟台东诚药业集团股份有限公司（证券简称：东诚药业；代码：002675.SZ）成立于1998年12月31日，法定代表人由守谊，注册资本82,459.5705万元人民币，统一社会信用代码91370000705877283D，注册地址为山东省烟台开发区长白山路7号。公司为其他股份有限公司（上市），属医药生物—化学制药行业，2012年5月在深交所上市。</w:t>
      </w:r>
    </w:p>
    <w:p>
      <w:pPr>
        <w:spacing w:lineRule="exact" w:line="600" w:before="0" w:after="0"/>
        <w:ind w:firstLine="420"/>
        <w:jc w:val="both"/>
      </w:pPr>
      <w:r>
        <w:rPr>
          <w:rFonts w:ascii="仿宋_GB2312" w:hAnsi="仿宋_GB2312" w:eastAsia="仿宋_GB2312"/>
          <w:b w:val="0"/>
          <w:color w:val="000000"/>
          <w:sz w:val="32"/>
        </w:rPr>
        <w:t>公司主营放射性核素药物、抗凝血肝素类原料药及其下游制剂的生产销售，是一家覆盖生化原料药、制剂、核药、大健康四大领域，融药品研发、生产、销售于一体的大型制药企业集团。截至2024年末员工总数2,469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下设原料药事业部与核药事业部，拥有多家分子公司，核心包括核药研发与商业化平台及控股子公司烟台蓝纳成生物技术股份有限公司（东诚药业持股43.95%）。蓝纳成聚焦肿瘤诊疗放射性药物，已于2025年9月、2026年6月两度向港交所递交H股上市申请。公司通过并购形成了从核素原料到核药制剂的产业链布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1998年公司成立，初期以生化原料药（肝素钠、硫酸软骨素）为主；2012年登陆深交所；此后通过一系列并购切入核医药领域，成为核药"双寡头"之一。2021年起受全球肝素行业低迷影响，传统原料药业务持续承压，公司战略重心向核药板块倾斜。2025年推动蓝纳成分拆赴港上市，优化业务结构与融资渠道。</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立足东方，守望健康"，构建"原料药+制剂+核药+大健康"四大业务板块。主营业务分为：原料药相关产品（肝素类）、制剂产品（那屈肝素钙、依诺肝素钠等抗凝制剂）、核药产品（氟[18F]脱氧葡萄糖FDG、氟[18F]化钠、锝[99mTc]替曲膦及在研PSMA等创新核药）。核医药业务为公司核心增长引擎与差异化壁垒。</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2024年公司实现营业总收入28.69亿元。分产品：原料药相关产品收入12.55亿元（占43.76%，同比-25.17%）、核药产品收入10.12亿元（占35.28%，同比-0.52%）、制剂产品收入3.25亿元（占11.35%，同比-18.66%）。核药板块收入占比已逼近原料药，成为业绩稳定器。</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原料药：肝素钠原料药、硫酸软骨素等；制剂：那屈肝素钙注射液、依诺肝素钠注射液、达肝素钠注射液、注射用氢化可的松琥珀酸钠等；核药：氟[18F]FDG（肿瘤显像，占核药收入约42%）、氟[18F]化钠注射液（已上市）、锝[99mTc]替曲膦注射液（纳入2025医保）、氟[18F]思睿肽注射液（PSMA，2026年1月NDA获受理）；在研创新核药涵盖前列腺癌、实体瘤、脑胶质瘤、神经内分泌瘤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原料药业务以海外客户为主（2024年境外收入占比约57%），受全球肝素去库存影响显著；核药与制剂主要面向国内核医学科、医院及零售/院内终端。2024年前五大客户合计销售5.81亿元（占20.24%），客户结构相对分散。</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原料药上游为生猪屠宰粗品（肝素）等农副产品供应链，价格受全球供需波动大；核药上游为放射性同位素及前体。2024年前五名供应商合计采购3.06亿元（占年度采购总额31.29%）。公司通过长协与多点供应平抑价格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在烟台、成都、上海、南京等地布局核药生产中心，长春核药生产中心获准运营，完善全国网络化布局；蓝纳成在烟台建成约4,886平方米cGMP标准生产基地（试生产阶段）。公司持有放射性药品生产、经营及《放射性药品生产企业许可证》等稀缺牌照，核药牌照与网络构成核心资源壁垒。</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原料药以直销+贸易商出口为主；核药依托"短半衰期、属地化"特征，通过区域生产中心+医院配送网络销售；制剂通过招商与自营结合。公司持续扩大核药中心覆盖，强化与医疗机构核医学科的合作。</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2024年核药收入10.12亿元，2025年进一步增至11.36亿元（+12.21%），在国产核药市场位居前列（与另一寡头合计占主导）。原料药受行业周期拖累明显，制剂受集采影响增长乏力。整体市占率呈"核药升、原料药降"分化态势。</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1474"/>
        <w:gridCol w:w="1474"/>
        <w:gridCol w:w="1474"/>
        <w:gridCol w:w="1474"/>
        <w:gridCol w:w="1474"/>
        <w:gridCol w:w="1474"/>
      </w:tblGrid>
      <w:tr>
        <w:tc>
          <w:tcPr>
            <w:tcW w:type="dxa" w:w="1247"/>
          </w:tcPr>
          <w:p>
            <w:pPr>
              <w:spacing w:lineRule="exact" w:line="600"/>
              <w:jc w:val="center"/>
            </w:pPr>
            <w:r/>
            <w:r>
              <w:rPr>
                <w:rFonts w:ascii="黑体" w:hAnsi="黑体" w:eastAsia="黑体"/>
                <w:b/>
                <w:color w:val="000000"/>
                <w:sz w:val="32"/>
              </w:rPr>
              <w:t>年份</w:t>
            </w:r>
          </w:p>
        </w:tc>
        <w:tc>
          <w:tcPr>
            <w:tcW w:type="dxa" w:w="1814"/>
          </w:tcPr>
          <w:p>
            <w:pPr>
              <w:spacing w:lineRule="exact" w:line="600"/>
              <w:jc w:val="center"/>
            </w:pPr>
            <w:r/>
            <w:r>
              <w:rPr>
                <w:rFonts w:ascii="黑体" w:hAnsi="黑体" w:eastAsia="黑体"/>
                <w:b/>
                <w:color w:val="000000"/>
                <w:sz w:val="32"/>
              </w:rPr>
              <w:t>营业收入(亿元)</w:t>
            </w:r>
          </w:p>
        </w:tc>
        <w:tc>
          <w:tcPr>
            <w:tcW w:type="dxa" w:w="1814"/>
          </w:tcPr>
          <w:p>
            <w:pPr>
              <w:spacing w:lineRule="exact" w:line="600"/>
              <w:jc w:val="center"/>
            </w:pPr>
            <w:r/>
            <w:r>
              <w:rPr>
                <w:rFonts w:ascii="黑体" w:hAnsi="黑体" w:eastAsia="黑体"/>
                <w:b/>
                <w:color w:val="000000"/>
                <w:sz w:val="32"/>
              </w:rPr>
              <w:t>归母净利润(亿元)</w:t>
            </w:r>
          </w:p>
        </w:tc>
        <w:tc>
          <w:tcPr>
            <w:tcW w:type="dxa" w:w="1474"/>
          </w:tcPr>
          <w:p>
            <w:pPr>
              <w:spacing w:lineRule="exact" w:line="600"/>
              <w:jc w:val="center"/>
            </w:pPr>
            <w:r/>
            <w:r>
              <w:rPr>
                <w:rFonts w:ascii="黑体" w:hAnsi="黑体" w:eastAsia="黑体"/>
                <w:b/>
                <w:color w:val="000000"/>
                <w:sz w:val="32"/>
              </w:rPr>
              <w:t>毛利率(%)</w:t>
            </w:r>
          </w:p>
        </w:tc>
        <w:tc>
          <w:tcPr>
            <w:tcW w:type="dxa" w:w="1701"/>
          </w:tcPr>
          <w:p>
            <w:pPr>
              <w:spacing w:lineRule="exact" w:line="600"/>
              <w:jc w:val="center"/>
            </w:pPr>
            <w:r/>
            <w:r>
              <w:rPr>
                <w:rFonts w:ascii="黑体" w:hAnsi="黑体" w:eastAsia="黑体"/>
                <w:b/>
                <w:color w:val="000000"/>
                <w:sz w:val="32"/>
              </w:rPr>
              <w:t>资产负债率(%)</w:t>
            </w:r>
          </w:p>
        </w:tc>
        <w:tc>
          <w:tcPr>
            <w:tcW w:type="dxa" w:w="1814"/>
          </w:tcPr>
          <w:p>
            <w:pPr>
              <w:spacing w:lineRule="exact" w:line="600"/>
              <w:jc w:val="center"/>
            </w:pPr>
            <w:r/>
            <w:r>
              <w:rPr>
                <w:rFonts w:ascii="黑体" w:hAnsi="黑体" w:eastAsia="黑体"/>
                <w:b/>
                <w:color w:val="000000"/>
                <w:sz w:val="32"/>
              </w:rPr>
              <w:t>经营现金流(亿元)</w:t>
            </w:r>
          </w:p>
        </w:tc>
      </w:tr>
      <w:tr>
        <w:tc>
          <w:tcPr>
            <w:tcW w:type="dxa" w:w="1247"/>
          </w:tcPr>
          <w:p>
            <w:pPr>
              <w:spacing w:lineRule="exact" w:line="600"/>
              <w:jc w:val="center"/>
            </w:pPr>
            <w:r/>
            <w:r>
              <w:rPr>
                <w:rFonts w:ascii="仿宋_GB2312" w:hAnsi="仿宋_GB2312" w:eastAsia="仿宋_GB2312"/>
                <w:b w:val="0"/>
                <w:color w:val="000000"/>
                <w:sz w:val="32"/>
              </w:rPr>
              <w:t>2022</w:t>
            </w:r>
          </w:p>
        </w:tc>
        <w:tc>
          <w:tcPr>
            <w:tcW w:type="dxa" w:w="1814"/>
          </w:tcPr>
          <w:p>
            <w:pPr>
              <w:spacing w:lineRule="exact" w:line="600"/>
              <w:jc w:val="center"/>
            </w:pPr>
            <w:r/>
            <w:r>
              <w:rPr>
                <w:rFonts w:ascii="仿宋_GB2312" w:hAnsi="仿宋_GB2312" w:eastAsia="仿宋_GB2312"/>
                <w:b w:val="0"/>
                <w:color w:val="000000"/>
                <w:sz w:val="32"/>
              </w:rPr>
              <w:t>35.83</w:t>
            </w:r>
          </w:p>
        </w:tc>
        <w:tc>
          <w:tcPr>
            <w:tcW w:type="dxa" w:w="1814"/>
          </w:tcPr>
          <w:p>
            <w:pPr>
              <w:spacing w:lineRule="exact" w:line="600"/>
              <w:jc w:val="center"/>
            </w:pPr>
            <w:r/>
            <w:r>
              <w:rPr>
                <w:rFonts w:ascii="仿宋_GB2312" w:hAnsi="仿宋_GB2312" w:eastAsia="仿宋_GB2312"/>
                <w:b w:val="0"/>
                <w:color w:val="000000"/>
                <w:sz w:val="32"/>
              </w:rPr>
              <w:t>3.07</w:t>
            </w:r>
          </w:p>
        </w:tc>
        <w:tc>
          <w:tcPr>
            <w:tcW w:type="dxa" w:w="1474"/>
          </w:tcPr>
          <w:p>
            <w:pPr>
              <w:spacing w:lineRule="exact" w:line="600"/>
              <w:jc w:val="center"/>
            </w:pPr>
            <w:r/>
            <w:r>
              <w:rPr>
                <w:rFonts w:ascii="仿宋_GB2312" w:hAnsi="仿宋_GB2312" w:eastAsia="仿宋_GB2312"/>
                <w:b w:val="0"/>
                <w:color w:val="000000"/>
                <w:sz w:val="32"/>
              </w:rPr>
              <w:t>42.94</w:t>
            </w:r>
          </w:p>
        </w:tc>
        <w:tc>
          <w:tcPr>
            <w:tcW w:type="dxa" w:w="1701"/>
          </w:tcPr>
          <w:p>
            <w:pPr>
              <w:spacing w:lineRule="exact" w:line="600"/>
              <w:jc w:val="center"/>
            </w:pPr>
            <w:r/>
            <w:r>
              <w:rPr>
                <w:rFonts w:ascii="仿宋_GB2312" w:hAnsi="仿宋_GB2312" w:eastAsia="仿宋_GB2312"/>
                <w:b w:val="0"/>
                <w:color w:val="000000"/>
                <w:sz w:val="32"/>
              </w:rPr>
              <w:t>未单列</w:t>
            </w:r>
          </w:p>
        </w:tc>
        <w:tc>
          <w:tcPr>
            <w:tcW w:type="dxa" w:w="1814"/>
          </w:tcPr>
          <w:p>
            <w:pPr>
              <w:spacing w:lineRule="exact" w:line="600"/>
              <w:jc w:val="center"/>
            </w:pPr>
            <w:r/>
            <w:r>
              <w:rPr>
                <w:rFonts w:ascii="仿宋_GB2312" w:hAnsi="仿宋_GB2312" w:eastAsia="仿宋_GB2312"/>
                <w:b w:val="0"/>
                <w:color w:val="000000"/>
                <w:sz w:val="32"/>
              </w:rPr>
              <w:t>9.97</w:t>
            </w:r>
          </w:p>
        </w:tc>
      </w:tr>
      <w:tr>
        <w:tc>
          <w:tcPr>
            <w:tcW w:type="dxa" w:w="1247"/>
          </w:tcPr>
          <w:p>
            <w:pPr>
              <w:spacing w:lineRule="exact" w:line="600"/>
              <w:jc w:val="center"/>
            </w:pPr>
            <w:r/>
            <w:r>
              <w:rPr>
                <w:rFonts w:ascii="仿宋_GB2312" w:hAnsi="仿宋_GB2312" w:eastAsia="仿宋_GB2312"/>
                <w:b w:val="0"/>
                <w:color w:val="000000"/>
                <w:sz w:val="32"/>
              </w:rPr>
              <w:t>2023</w:t>
            </w:r>
          </w:p>
        </w:tc>
        <w:tc>
          <w:tcPr>
            <w:tcW w:type="dxa" w:w="1814"/>
          </w:tcPr>
          <w:p>
            <w:pPr>
              <w:spacing w:lineRule="exact" w:line="600"/>
              <w:jc w:val="center"/>
            </w:pPr>
            <w:r/>
            <w:r>
              <w:rPr>
                <w:rFonts w:ascii="仿宋_GB2312" w:hAnsi="仿宋_GB2312" w:eastAsia="仿宋_GB2312"/>
                <w:b w:val="0"/>
                <w:color w:val="000000"/>
                <w:sz w:val="32"/>
              </w:rPr>
              <w:t>32.76</w:t>
            </w:r>
          </w:p>
        </w:tc>
        <w:tc>
          <w:tcPr>
            <w:tcW w:type="dxa" w:w="1814"/>
          </w:tcPr>
          <w:p>
            <w:pPr>
              <w:spacing w:lineRule="exact" w:line="600"/>
              <w:jc w:val="center"/>
            </w:pPr>
            <w:r/>
            <w:r>
              <w:rPr>
                <w:rFonts w:ascii="仿宋_GB2312" w:hAnsi="仿宋_GB2312" w:eastAsia="仿宋_GB2312"/>
                <w:b w:val="0"/>
                <w:color w:val="000000"/>
                <w:sz w:val="32"/>
              </w:rPr>
              <w:t>2.10</w:t>
            </w:r>
          </w:p>
        </w:tc>
        <w:tc>
          <w:tcPr>
            <w:tcW w:type="dxa" w:w="1474"/>
          </w:tcPr>
          <w:p>
            <w:pPr>
              <w:spacing w:lineRule="exact" w:line="600"/>
              <w:jc w:val="center"/>
            </w:pPr>
            <w:r/>
            <w:r>
              <w:rPr>
                <w:rFonts w:ascii="仿宋_GB2312" w:hAnsi="仿宋_GB2312" w:eastAsia="仿宋_GB2312"/>
                <w:b w:val="0"/>
                <w:color w:val="000000"/>
                <w:sz w:val="32"/>
              </w:rPr>
              <w:t>44.87</w:t>
            </w:r>
          </w:p>
        </w:tc>
        <w:tc>
          <w:tcPr>
            <w:tcW w:type="dxa" w:w="1701"/>
          </w:tcPr>
          <w:p>
            <w:pPr>
              <w:spacing w:lineRule="exact" w:line="600"/>
              <w:jc w:val="center"/>
            </w:pPr>
            <w:r/>
            <w:r>
              <w:rPr>
                <w:rFonts w:ascii="仿宋_GB2312" w:hAnsi="仿宋_GB2312" w:eastAsia="仿宋_GB2312"/>
                <w:b w:val="0"/>
                <w:color w:val="000000"/>
                <w:sz w:val="32"/>
              </w:rPr>
              <w:t>33.24</w:t>
            </w:r>
          </w:p>
        </w:tc>
        <w:tc>
          <w:tcPr>
            <w:tcW w:type="dxa" w:w="1814"/>
          </w:tcPr>
          <w:p>
            <w:pPr>
              <w:spacing w:lineRule="exact" w:line="600"/>
              <w:jc w:val="center"/>
            </w:pPr>
            <w:r/>
            <w:r>
              <w:rPr>
                <w:rFonts w:ascii="仿宋_GB2312" w:hAnsi="仿宋_GB2312" w:eastAsia="仿宋_GB2312"/>
                <w:b w:val="0"/>
                <w:color w:val="000000"/>
                <w:sz w:val="32"/>
              </w:rPr>
              <w:t>2.77</w:t>
            </w:r>
          </w:p>
        </w:tc>
      </w:tr>
      <w:tr>
        <w:tc>
          <w:tcPr>
            <w:tcW w:type="dxa" w:w="1247"/>
          </w:tcPr>
          <w:p>
            <w:pPr>
              <w:spacing w:lineRule="exact" w:line="600"/>
              <w:jc w:val="center"/>
            </w:pPr>
            <w:r/>
            <w:r>
              <w:rPr>
                <w:rFonts w:ascii="仿宋_GB2312" w:hAnsi="仿宋_GB2312" w:eastAsia="仿宋_GB2312"/>
                <w:b w:val="0"/>
                <w:color w:val="000000"/>
                <w:sz w:val="32"/>
              </w:rPr>
              <w:t>2024</w:t>
            </w:r>
          </w:p>
        </w:tc>
        <w:tc>
          <w:tcPr>
            <w:tcW w:type="dxa" w:w="1814"/>
          </w:tcPr>
          <w:p>
            <w:pPr>
              <w:spacing w:lineRule="exact" w:line="600"/>
              <w:jc w:val="center"/>
            </w:pPr>
            <w:r/>
            <w:r>
              <w:rPr>
                <w:rFonts w:ascii="仿宋_GB2312" w:hAnsi="仿宋_GB2312" w:eastAsia="仿宋_GB2312"/>
                <w:b w:val="0"/>
                <w:color w:val="000000"/>
                <w:sz w:val="32"/>
              </w:rPr>
              <w:t>28.69</w:t>
            </w:r>
          </w:p>
        </w:tc>
        <w:tc>
          <w:tcPr>
            <w:tcW w:type="dxa" w:w="1814"/>
          </w:tcPr>
          <w:p>
            <w:pPr>
              <w:spacing w:lineRule="exact" w:line="600"/>
              <w:jc w:val="center"/>
            </w:pPr>
            <w:r/>
            <w:r>
              <w:rPr>
                <w:rFonts w:ascii="仿宋_GB2312" w:hAnsi="仿宋_GB2312" w:eastAsia="仿宋_GB2312"/>
                <w:b w:val="0"/>
                <w:color w:val="000000"/>
                <w:sz w:val="32"/>
              </w:rPr>
              <w:t>1.84</w:t>
            </w:r>
          </w:p>
        </w:tc>
        <w:tc>
          <w:tcPr>
            <w:tcW w:type="dxa" w:w="1474"/>
          </w:tcPr>
          <w:p>
            <w:pPr>
              <w:spacing w:lineRule="exact" w:line="600"/>
              <w:jc w:val="center"/>
            </w:pPr>
            <w:r/>
            <w:r>
              <w:rPr>
                <w:rFonts w:ascii="仿宋_GB2312" w:hAnsi="仿宋_GB2312" w:eastAsia="仿宋_GB2312"/>
                <w:b w:val="0"/>
                <w:color w:val="000000"/>
                <w:sz w:val="32"/>
              </w:rPr>
              <w:t>47.14</w:t>
            </w:r>
          </w:p>
        </w:tc>
        <w:tc>
          <w:tcPr>
            <w:tcW w:type="dxa" w:w="1701"/>
          </w:tcPr>
          <w:p>
            <w:pPr>
              <w:spacing w:lineRule="exact" w:line="600"/>
              <w:jc w:val="center"/>
            </w:pPr>
            <w:r/>
            <w:r>
              <w:rPr>
                <w:rFonts w:ascii="仿宋_GB2312" w:hAnsi="仿宋_GB2312" w:eastAsia="仿宋_GB2312"/>
                <w:b w:val="0"/>
                <w:color w:val="000000"/>
                <w:sz w:val="32"/>
              </w:rPr>
              <w:t>37.79</w:t>
            </w:r>
          </w:p>
        </w:tc>
        <w:tc>
          <w:tcPr>
            <w:tcW w:type="dxa" w:w="1814"/>
          </w:tcPr>
          <w:p>
            <w:pPr>
              <w:spacing w:lineRule="exact" w:line="600"/>
              <w:jc w:val="center"/>
            </w:pPr>
            <w:r/>
            <w:r>
              <w:rPr>
                <w:rFonts w:ascii="仿宋_GB2312" w:hAnsi="仿宋_GB2312" w:eastAsia="仿宋_GB2312"/>
                <w:b w:val="0"/>
                <w:color w:val="000000"/>
                <w:sz w:val="32"/>
              </w:rPr>
              <w:t>2.87</w:t>
            </w:r>
          </w:p>
        </w:tc>
      </w:tr>
    </w:tbl>
    <w:p>
      <w:pPr>
        <w:spacing w:lineRule="exact" w:line="600" w:before="0" w:after="0"/>
        <w:jc w:val="left"/>
      </w:pPr>
      <w:r>
        <w:rPr>
          <w:rFonts w:ascii="仿宋_GB2312" w:hAnsi="仿宋_GB2312" w:eastAsia="仿宋_GB2312"/>
          <w:b w:val="0"/>
          <w:color w:val="000000"/>
          <w:sz w:val="28"/>
        </w:rPr>
        <w:t>（注：2022年毛利率系根据2023年年报同比变动反推测算；2022年资产负债率未在公开检索中单独列示。2023—2024年数据来源于公司年度报告及东方财富/同花顺，单位亿元。）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公司营收自2021年39.12亿元连续下滑至2024年28.69亿元（2025年 further 降至27.41亿元），主要受传统肝素原料药价量齐跌拖累。归母净利润由2022年3.07亿元降至2024年1.84亿元（同比-12.35%），但毛利率由42.94%提升至47.14%，盈利结构随高毛利核药占比上升而优化。2025年通过"砍研发换利润"使扣非净利显著回升，但市场对其可持续性存疑。</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总资产86.35亿元，资产以固定资产、在建工程（核药中心建设）、商誉及应收账款为主。公司早年高溢价并购核药资产形成较高商誉，虽逐年减值但仍为资产质量隐忧。存货周转率1.96次，应收账款周转率3.41次，资产运营总体平稳。</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末资产负债率37.79%（同比+4.55个百分点），有息负债率26.31%，流动比率1.46、速动比率1.10，短期偿债能力尚可。负债以经营性应付与有息借款为主，整体杠杆可控，但需关注商誉减值与蓝纳成对赌回购（约11亿元）的潜在表外压力。</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2024年经营活动现金流净额2.87亿元（同比+3.69%），销售现金比率10.01%，净利润现金含量203.04%，盈利现金含量较高。但投资活动因核药中心建设持续净流出，筹资活动随还款减少。整体现金流可支撑主业，但蓝纳成分拆前的回购义务仍需关注。</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化学制药及核药同行相比，东诚药业毛利率（47.14%）处于行业中上，但营收连续下滑、净利承压明显；核药板块增速（约12%）低于创新药企，且高度依赖FDG老产品（占核药收入42%）。其"传统业务失血、核药尚未爆发"的特征突出，估值受困于增长与兑现节奏。</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公司为深交所上市公司，设立股东大会、董事会、监事会及管理层，董事会含独立董事与专门委员会。控股股东为烟台东益生物工程有限公司（持股15.15%），实控人由守谊，治理规范。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由守谊任党委书记、董事长，深耕制药30余年；总经理罗志刚；董事会秘书刘晓杰。高管团队兼具产业与资本经验，2024年董事长薪酬约176.9万元。</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公司建立覆盖研发、生产（GMP）、核药特殊经营（放射性药品许可）、销售与财务的内控体系。核药业务涉及放射性物质与特许经营，合规与安全管理为内控重点。</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2024年末员工2,469人（同比+5.83%），人均创收116.2万元、人均创利7.45万元。公司注重研发与核药专业人才储备，研发投入2024年4.31亿元（占营收15.03%，五年连续上涨）。</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核药牌照与网络壁垒：持有放射性药品生产/经营稀缺牌照，建成多地核药生产中心，形成"短半衰期药物"属地化供应网络，竞争对手难以快速复制。</w:t>
      </w:r>
    </w:p>
    <w:p>
      <w:pPr>
        <w:spacing w:lineRule="exact" w:line="600" w:before="0" w:after="0"/>
        <w:ind w:firstLine="420"/>
        <w:jc w:val="both"/>
      </w:pPr>
      <w:r>
        <w:rPr>
          <w:rFonts w:ascii="仿宋_GB2312" w:hAnsi="仿宋_GB2312" w:eastAsia="仿宋_GB2312"/>
          <w:b w:val="0"/>
          <w:color w:val="000000"/>
          <w:sz w:val="32"/>
        </w:rPr>
        <w:t>2. 核药"双寡头"地位：与另一龙头合计主导国内核药市场，先发优势与医院合作粘性强。</w:t>
      </w:r>
    </w:p>
    <w:p>
      <w:pPr>
        <w:spacing w:lineRule="exact" w:line="600" w:before="0" w:after="0"/>
        <w:ind w:firstLine="420"/>
        <w:jc w:val="both"/>
      </w:pPr>
      <w:r>
        <w:rPr>
          <w:rFonts w:ascii="仿宋_GB2312" w:hAnsi="仿宋_GB2312" w:eastAsia="仿宋_GB2312"/>
          <w:b w:val="0"/>
          <w:color w:val="000000"/>
          <w:sz w:val="32"/>
        </w:rPr>
        <w:t>3. 诊疗一体化管线：蓝纳成拥有13款候选药物（国内临床阶段诊疗一体化管线数量第一），覆盖诊断+治疗放射性药物。</w:t>
      </w:r>
    </w:p>
    <w:p>
      <w:pPr>
        <w:spacing w:lineRule="exact" w:line="600" w:before="0" w:after="0"/>
        <w:ind w:firstLine="420"/>
        <w:jc w:val="both"/>
      </w:pPr>
      <w:r>
        <w:rPr>
          <w:rFonts w:ascii="仿宋_GB2312" w:hAnsi="仿宋_GB2312" w:eastAsia="仿宋_GB2312"/>
          <w:b w:val="0"/>
          <w:color w:val="000000"/>
          <w:sz w:val="32"/>
        </w:rPr>
        <w:t>4. 全产业链协同：从肝素原料药到核药制剂，具备成本与供应链协同；品牌与渠道沉淀深厚。</w:t>
      </w:r>
    </w:p>
    <w:p>
      <w:pPr>
        <w:spacing w:lineRule="exact" w:line="600" w:before="0" w:after="0"/>
        <w:ind w:firstLine="420"/>
        <w:jc w:val="both"/>
      </w:pPr>
      <w:r>
        <w:rPr>
          <w:rFonts w:ascii="仿宋_GB2312" w:hAnsi="仿宋_GB2312" w:eastAsia="仿宋_GB2312"/>
          <w:b w:val="0"/>
          <w:color w:val="000000"/>
          <w:sz w:val="32"/>
        </w:rPr>
        <w:t>5. 资本运作能力：分拆蓝纳成赴港上市，优化融资结构，拓宽创新药研发资金渠道。</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传统业务持续下滑风险：肝素原料药受全球供应过剩、客户去库存影响，价量齐跌，若复苏不及预期将持续拖累整体业绩。</w:t>
      </w:r>
    </w:p>
    <w:p>
      <w:pPr>
        <w:spacing w:lineRule="exact" w:line="600" w:before="0" w:after="0"/>
        <w:ind w:firstLine="420"/>
        <w:jc w:val="both"/>
      </w:pPr>
      <w:r>
        <w:rPr>
          <w:rFonts w:ascii="仿宋_GB2312" w:hAnsi="仿宋_GB2312" w:eastAsia="仿宋_GB2312"/>
          <w:b w:val="0"/>
          <w:color w:val="000000"/>
          <w:sz w:val="32"/>
        </w:rPr>
        <w:t>2. 商誉与并购整合风险：早年高溢价并购累计商誉较高，若标的业绩不达预期存在减值风险。</w:t>
      </w:r>
    </w:p>
    <w:p>
      <w:pPr>
        <w:spacing w:lineRule="exact" w:line="600" w:before="0" w:after="0"/>
        <w:ind w:firstLine="420"/>
        <w:jc w:val="both"/>
      </w:pPr>
      <w:r>
        <w:rPr>
          <w:rFonts w:ascii="仿宋_GB2312" w:hAnsi="仿宋_GB2312" w:eastAsia="仿宋_GB2312"/>
          <w:b w:val="0"/>
          <w:color w:val="000000"/>
          <w:sz w:val="32"/>
        </w:rPr>
        <w:t>3. 集采与价格风险：制剂（那屈肝素钙等）受药品集采降价影响；核药虽暂未大规模集采，但支付政策变化可能影响利润率。</w:t>
      </w:r>
    </w:p>
    <w:p>
      <w:pPr>
        <w:spacing w:lineRule="exact" w:line="600" w:before="0" w:after="0"/>
        <w:ind w:firstLine="420"/>
        <w:jc w:val="both"/>
      </w:pPr>
      <w:r>
        <w:rPr>
          <w:rFonts w:ascii="仿宋_GB2312" w:hAnsi="仿宋_GB2312" w:eastAsia="仿宋_GB2312"/>
          <w:b w:val="0"/>
          <w:color w:val="000000"/>
          <w:sz w:val="32"/>
        </w:rPr>
        <w:t>4. 蓝纳成对赌与回购风险：若蓝纳成未能按期完成合格IPO，C轮股东回购权恢复，东诚药业或面临超11亿元回购压力，账面现金（约9.5亿元）覆盖承压。</w:t>
      </w:r>
    </w:p>
    <w:p>
      <w:pPr>
        <w:spacing w:lineRule="exact" w:line="600" w:before="0" w:after="0"/>
        <w:ind w:firstLine="420"/>
        <w:jc w:val="both"/>
      </w:pPr>
      <w:r>
        <w:rPr>
          <w:rFonts w:ascii="仿宋_GB2312" w:hAnsi="仿宋_GB2312" w:eastAsia="仿宋_GB2312"/>
          <w:b w:val="0"/>
          <w:color w:val="000000"/>
          <w:sz w:val="32"/>
        </w:rPr>
        <w:t>5. 研发兑现风险：重磅核药（PSMA、α核素治疗药）获批时点较晚（2026—2027年后），短期增长依赖老产品。公司应对措施：聚焦核药、优化研发投放、推进分拆上市与BD合作。</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1. 供应链金融：原料药出口与核药采购环节可开展应收账款保理、信用证融资，盘活跨境与季节性资金。</w:t>
      </w:r>
    </w:p>
    <w:p>
      <w:pPr>
        <w:spacing w:lineRule="exact" w:line="600" w:before="0" w:after="0"/>
        <w:ind w:firstLine="420"/>
        <w:jc w:val="both"/>
      </w:pPr>
      <w:r>
        <w:rPr>
          <w:rFonts w:ascii="仿宋_GB2312" w:hAnsi="仿宋_GB2312" w:eastAsia="仿宋_GB2312"/>
          <w:b w:val="0"/>
          <w:color w:val="000000"/>
          <w:sz w:val="32"/>
        </w:rPr>
        <w:t>2. 融资租赁：核药生产中心设备投资大，适合以融资租赁优化资本开支节奏。</w:t>
      </w:r>
    </w:p>
    <w:p>
      <w:pPr>
        <w:spacing w:lineRule="exact" w:line="600" w:before="0" w:after="0"/>
        <w:ind w:firstLine="420"/>
        <w:jc w:val="both"/>
      </w:pPr>
      <w:r>
        <w:rPr>
          <w:rFonts w:ascii="仿宋_GB2312" w:hAnsi="仿宋_GB2312" w:eastAsia="仿宋_GB2312"/>
          <w:b w:val="0"/>
          <w:color w:val="000000"/>
          <w:sz w:val="32"/>
        </w:rPr>
        <w:t>3. 产业基金/股权投资：山东投资可参与蓝纳成相关融资或东诚药业定增/可转债，支持核药创新管线在烟台落地。</w:t>
      </w:r>
    </w:p>
    <w:p>
      <w:pPr>
        <w:spacing w:lineRule="exact" w:line="600" w:before="0" w:after="0"/>
        <w:ind w:firstLine="420"/>
        <w:jc w:val="both"/>
      </w:pPr>
      <w:r>
        <w:rPr>
          <w:rFonts w:ascii="仿宋_GB2312" w:hAnsi="仿宋_GB2312" w:eastAsia="仿宋_GB2312"/>
          <w:b w:val="0"/>
          <w:color w:val="000000"/>
          <w:sz w:val="32"/>
        </w:rPr>
        <w:t>4. 小贷与过桥：针对蓝纳成IPO等待期或回购义务缓冲，可提供结构化流动性支持，但须严格评估对赌触发风险并设定增信。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东诚药业是山东核药龙头，拥有稀缺牌照、全国核药网络与丰富在研管线，核药板块逆势增长；但传统肝素业务持续失血、营收四连降、商誉与蓝纳成对赌压力并存，处于"旧动能退坡、新动能待起"的转型阵痛期。</w:t>
      </w:r>
    </w:p>
    <w:p>
      <w:pPr>
        <w:spacing w:lineRule="exact" w:line="600" w:before="0" w:after="0"/>
        <w:ind w:firstLine="420"/>
        <w:jc w:val="both"/>
      </w:pPr>
      <w:r>
        <w:rPr>
          <w:rFonts w:ascii="仿宋_GB2312" w:hAnsi="仿宋_GB2312" w:eastAsia="仿宋_GB2312"/>
          <w:b w:val="0"/>
          <w:color w:val="000000"/>
          <w:sz w:val="32"/>
        </w:rPr>
        <w:t>发展展望：据公司规划，核药板块（2025年11.36亿元，+12.21%）将继续作为核心增长极，氟[18F]思睿肽等重磅产品有望2026—2027年获批；蓝纳成赴港上市若成功将显著改善资本结构。传统原料药有望随全球库存出清企稳。</w:t>
      </w:r>
    </w:p>
    <w:p>
      <w:pPr>
        <w:spacing w:lineRule="exact" w:line="600" w:before="0" w:after="0"/>
        <w:ind w:firstLine="420"/>
        <w:jc w:val="both"/>
      </w:pPr>
      <w:r>
        <w:rPr>
          <w:rFonts w:ascii="仿宋_GB2312" w:hAnsi="仿宋_GB2312" w:eastAsia="仿宋_GB2312"/>
          <w:b w:val="0"/>
          <w:color w:val="000000"/>
          <w:sz w:val="32"/>
        </w:rPr>
        <w:t>建议：一是融资协同，山东投资可重点关注核药产业链基金合作与蓝纳成相关投资；二是风险隔离，对涉对赌的流动性支持须设置回购担保与分期投放；三是产业落地，支持其在烟台黄渤海新区做强核医疗产业集群；四是稳健原则，优先以供应链金融+融资租赁切入，控制股权类敞口。</w:t>
      </w:r>
    </w:p>
    <w:p>
      <w:pPr>
        <w:spacing w:lineRule="exact" w:line="600" w:before="120" w:after="120"/>
        <w:ind w:firstLine="420"/>
        <w:jc w:val="left"/>
      </w:pPr>
      <w:r>
        <w:rPr>
          <w:rFonts w:ascii="楷体_GB2312" w:hAnsi="楷体_GB2312" w:eastAsia="楷体_GB2312"/>
          <w:b w:val="0"/>
          <w:color w:val="000000"/>
          <w:sz w:val="32"/>
        </w:rPr>
        <w:t>（附）数据来源说明</w:t>
      </w:r>
    </w:p>
    <w:p>
      <w:pPr>
        <w:spacing w:lineRule="exact" w:line="600" w:before="0" w:after="0"/>
        <w:ind w:firstLine="420"/>
        <w:jc w:val="both"/>
      </w:pPr>
      <w:r>
        <w:rPr>
          <w:rFonts w:ascii="仿宋_GB2312" w:hAnsi="仿宋_GB2312" w:eastAsia="仿宋_GB2312"/>
          <w:b w:val="0"/>
          <w:color w:val="000000"/>
          <w:sz w:val="32"/>
        </w:rPr>
        <w:t>本报告使用数据来源：东诚药业2022—2024年年度报告（深交所/巨潮网）、东方财富/同花顺财务指标、公司官网（dcb-group.com）、中证网/中国证券报/新浪财经报道、蓝纳成港股招股相关公开报道（泰山财经/腾讯财经等）。前瞻性描述以公司披露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