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烟台市黄渤海新区生物医药特色产业集群</w:t>
      </w:r>
    </w:p>
    <w:p>
      <w:pPr>
        <w:spacing w:lineRule="exact" w:line="600" w:before="240" w:after="240"/>
        <w:ind w:firstLine="0"/>
        <w:jc w:val="center"/>
      </w:pPr>
      <w:r>
        <w:rPr>
          <w:rFonts w:ascii="方正小标宋简体" w:hAnsi="方正小标宋简体" w:eastAsia="方正小标宋简体"/>
          <w:b w:val="0"/>
          <w:color w:val="000000"/>
          <w:sz w:val="44"/>
        </w:rPr>
        <w:t>烟台正海生物科技股份有限公司企业分析报告</w:t>
      </w:r>
    </w:p>
    <w:p>
      <w:pPr>
        <w:spacing w:lineRule="exact" w:line="600" w:before="0" w:after="0"/>
        <w:jc w:val="left"/>
      </w:pPr>
      <w:r>
        <w:rPr>
          <w:rFonts w:ascii="仿宋_GB2312" w:hAnsi="仿宋_GB2312" w:eastAsia="仿宋_GB2312"/>
          <w:b w:val="0"/>
          <w:color w:val="000000"/>
          <w:sz w:val="28"/>
        </w:rPr>
        <w:t>（本报告数据来源于正海生物2022—2024年年度报告、深交所公告、巨潮网、东方财富、同花顺、公司官网及经济参考报/新浪财经/华泰研究等公开信息。统计时点截至2024年年度报告及2025年公开信息。2022年部分指标根据年报同比变动测算，已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烟台正海生物科技股份有限公司（证券简称：正海生物；代码：300653.SZ）成立于2003年10月22日，法定代表人郭焕祥（董事长），注册资本18,000万元人民币，统一社会信用代码913706007554199342，注册地址为山东省烟台市。公司为其他股份有限公司（上市），属医药生物—医疗器械行业，是正海集团旗下再生医学平台企业，国家首批专精特新"小巨人"企业、国家知识产权示范企业。</w:t>
      </w:r>
    </w:p>
    <w:p>
      <w:pPr>
        <w:spacing w:lineRule="exact" w:line="600" w:before="0" w:after="0"/>
        <w:ind w:firstLine="420"/>
        <w:jc w:val="both"/>
      </w:pPr>
      <w:r>
        <w:rPr>
          <w:rFonts w:ascii="仿宋_GB2312" w:hAnsi="仿宋_GB2312" w:eastAsia="仿宋_GB2312"/>
          <w:b w:val="0"/>
          <w:color w:val="000000"/>
          <w:sz w:val="32"/>
        </w:rPr>
        <w:t>公司主营业务为生物再生材料的研发、生产与销售，是国内极少数具备研发、产业与商业化能力的平台型公司。2024年末员工总数375人（同比+12.95%）。</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控股型上市平台，隶属于正海集团（创建于1990年，涉足稀土永磁、再生医学、汽车内饰、电子信息、半导体功率器件等）。正海生物下设研发、生产、营销体系，并对外投资2家企业。控股股东、实控人为秘波海（持股33.87%）。</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2003年公司成立，专注生物再生材料；2017年在深交所创业板上市；核心产品口腔修复膜、可吸收硬脑（脊）膜补片逐步实现进口替代。2022年重磅新品"海昱"活性生物骨获批，2023年完成转产验证并于2024年初正式推向市场，成为新的业绩增长点。公司持续受集采政策影响，传统产品收入承压。</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立足再生医学领域，全面布局软/硬组织再生产品管线。主营业务为生物再生材料的研发、生产与销售，主要产品包括口腔修复膜、可吸收硬脑（脊）膜补片、骨修复材料、活性生物骨（海昱）、皮肤修复膜、钙硅生物陶瓷骨修复材料、光固化复合树脂等，应用于口腔颌面外科、神经外科、骨科等。</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2024年营业总收入3.63亿元。分产品：口腔修复膜收入1.62亿元（占44.61%，同比-18.64%）、脑膜系列产品收入1.49亿元（占40.93%，同比-9.91%）、骨修复材料及其他收入约0.52亿元（占14.46%）。两大传统产品合计占比超85%，收入结构集中度高。</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口腔修复膜用于口腔种植与颌面外科软组织的引导再生；可吸收硬脑（脊）膜补片用于神经外科硬脑膜/脊膜缺损修复；活性生物骨（海昱）为骨支架材料与重组人骨形态发生蛋白（rhBMP-2）结合的国内首款药械组合骨填充材料，临床效果优于传统材料；另有钙硅生物陶瓷骨修复材料、乳房补片、宫腔修复膜等在研/在售产品。</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产品面向口腔医院/诊所、神经外科及骨科医院。2024年前五大客户合计销售0.38亿元（占10.45%），客户集中度低。种植牙集采与脑膜耗材联盟集采改变终端价格与渠道结构，公司需同时维护公立与民营市场。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上游为生物材料、胶原/高分子原料及包装耗材，2024年前五名供应商合计采购0.20亿元（占13.91%）。供应链相对简单、可控，公司通过供应商管理与工艺优化抵消部分集采降价压力。</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持有多项三类医疗器械注册证（口腔修复膜、硬脑（脊）膜补片、活性生物骨等），三类器械牌照构成准入壁垒。拥有研发、生产、质量全流程体系，活性生物骨完成多数省份挂网入院，产能可支撑当前销售规模。</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自营+经销结合的学术推广模式，精准化营销，加大市场开拓。2024年活性生物骨完成全国超2/3省份挂网及部分医院入院，二季度起扎实推进入院；脑膜产品在已集采24省全部中选，保持集采省份全中标的纪录。</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口腔修复膜与硬脑膜补片在国内细分市场居领先地位，活性生物骨为国产首款，具先发优势。2024年受集采以价换量尚未充分体现，收入双降，但毛利率仍维持86%以上，市场份额优势稳固。</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1474"/>
        <w:gridCol w:w="1474"/>
        <w:gridCol w:w="1474"/>
        <w:gridCol w:w="1474"/>
        <w:gridCol w:w="1474"/>
        <w:gridCol w:w="1474"/>
      </w:tblGrid>
      <w:tr>
        <w:tc>
          <w:tcPr>
            <w:tcW w:type="dxa" w:w="1247"/>
          </w:tcPr>
          <w:p>
            <w:pPr>
              <w:spacing w:lineRule="exact" w:line="600"/>
              <w:jc w:val="center"/>
            </w:pPr>
            <w:r/>
            <w:r>
              <w:rPr>
                <w:rFonts w:ascii="黑体" w:hAnsi="黑体" w:eastAsia="黑体"/>
                <w:b/>
                <w:color w:val="000000"/>
                <w:sz w:val="32"/>
              </w:rPr>
              <w:t>年份</w:t>
            </w:r>
          </w:p>
        </w:tc>
        <w:tc>
          <w:tcPr>
            <w:tcW w:type="dxa" w:w="1814"/>
          </w:tcPr>
          <w:p>
            <w:pPr>
              <w:spacing w:lineRule="exact" w:line="600"/>
              <w:jc w:val="center"/>
            </w:pPr>
            <w:r/>
            <w:r>
              <w:rPr>
                <w:rFonts w:ascii="黑体" w:hAnsi="黑体" w:eastAsia="黑体"/>
                <w:b/>
                <w:color w:val="000000"/>
                <w:sz w:val="32"/>
              </w:rPr>
              <w:t>营业收入(亿元)</w:t>
            </w:r>
          </w:p>
        </w:tc>
        <w:tc>
          <w:tcPr>
            <w:tcW w:type="dxa" w:w="1814"/>
          </w:tcPr>
          <w:p>
            <w:pPr>
              <w:spacing w:lineRule="exact" w:line="600"/>
              <w:jc w:val="center"/>
            </w:pPr>
            <w:r/>
            <w:r>
              <w:rPr>
                <w:rFonts w:ascii="黑体" w:hAnsi="黑体" w:eastAsia="黑体"/>
                <w:b/>
                <w:color w:val="000000"/>
                <w:sz w:val="32"/>
              </w:rPr>
              <w:t>归母净利润(亿元)</w:t>
            </w:r>
          </w:p>
        </w:tc>
        <w:tc>
          <w:tcPr>
            <w:tcW w:type="dxa" w:w="1474"/>
          </w:tcPr>
          <w:p>
            <w:pPr>
              <w:spacing w:lineRule="exact" w:line="600"/>
              <w:jc w:val="center"/>
            </w:pPr>
            <w:r/>
            <w:r>
              <w:rPr>
                <w:rFonts w:ascii="黑体" w:hAnsi="黑体" w:eastAsia="黑体"/>
                <w:b/>
                <w:color w:val="000000"/>
                <w:sz w:val="32"/>
              </w:rPr>
              <w:t>毛利率(%)</w:t>
            </w:r>
          </w:p>
        </w:tc>
        <w:tc>
          <w:tcPr>
            <w:tcW w:type="dxa" w:w="1701"/>
          </w:tcPr>
          <w:p>
            <w:pPr>
              <w:spacing w:lineRule="exact" w:line="600"/>
              <w:jc w:val="center"/>
            </w:pPr>
            <w:r/>
            <w:r>
              <w:rPr>
                <w:rFonts w:ascii="黑体" w:hAnsi="黑体" w:eastAsia="黑体"/>
                <w:b/>
                <w:color w:val="000000"/>
                <w:sz w:val="32"/>
              </w:rPr>
              <w:t>资产负债率(%)</w:t>
            </w:r>
          </w:p>
        </w:tc>
        <w:tc>
          <w:tcPr>
            <w:tcW w:type="dxa" w:w="1814"/>
          </w:tcPr>
          <w:p>
            <w:pPr>
              <w:spacing w:lineRule="exact" w:line="600"/>
              <w:jc w:val="center"/>
            </w:pPr>
            <w:r/>
            <w:r>
              <w:rPr>
                <w:rFonts w:ascii="黑体" w:hAnsi="黑体" w:eastAsia="黑体"/>
                <w:b/>
                <w:color w:val="000000"/>
                <w:sz w:val="32"/>
              </w:rPr>
              <w:t>经营现金流(亿元)</w:t>
            </w:r>
          </w:p>
        </w:tc>
      </w:tr>
      <w:tr>
        <w:tc>
          <w:tcPr>
            <w:tcW w:type="dxa" w:w="1247"/>
          </w:tcPr>
          <w:p>
            <w:pPr>
              <w:spacing w:lineRule="exact" w:line="600"/>
              <w:jc w:val="center"/>
            </w:pPr>
            <w:r/>
            <w:r>
              <w:rPr>
                <w:rFonts w:ascii="仿宋_GB2312" w:hAnsi="仿宋_GB2312" w:eastAsia="仿宋_GB2312"/>
                <w:b w:val="0"/>
                <w:color w:val="000000"/>
                <w:sz w:val="32"/>
              </w:rPr>
              <w:t>2022</w:t>
            </w:r>
          </w:p>
        </w:tc>
        <w:tc>
          <w:tcPr>
            <w:tcW w:type="dxa" w:w="1814"/>
          </w:tcPr>
          <w:p>
            <w:pPr>
              <w:spacing w:lineRule="exact" w:line="600"/>
              <w:jc w:val="center"/>
            </w:pPr>
            <w:r/>
            <w:r>
              <w:rPr>
                <w:rFonts w:ascii="仿宋_GB2312" w:hAnsi="仿宋_GB2312" w:eastAsia="仿宋_GB2312"/>
                <w:b w:val="0"/>
                <w:color w:val="000000"/>
                <w:sz w:val="32"/>
              </w:rPr>
              <w:t>4.34*</w:t>
            </w:r>
          </w:p>
        </w:tc>
        <w:tc>
          <w:tcPr>
            <w:tcW w:type="dxa" w:w="1814"/>
          </w:tcPr>
          <w:p>
            <w:pPr>
              <w:spacing w:lineRule="exact" w:line="600"/>
              <w:jc w:val="center"/>
            </w:pPr>
            <w:r/>
            <w:r>
              <w:rPr>
                <w:rFonts w:ascii="仿宋_GB2312" w:hAnsi="仿宋_GB2312" w:eastAsia="仿宋_GB2312"/>
                <w:b w:val="0"/>
                <w:color w:val="000000"/>
                <w:sz w:val="32"/>
              </w:rPr>
              <w:t>1.85*</w:t>
            </w:r>
          </w:p>
        </w:tc>
        <w:tc>
          <w:tcPr>
            <w:tcW w:type="dxa" w:w="1474"/>
          </w:tcPr>
          <w:p>
            <w:pPr>
              <w:spacing w:lineRule="exact" w:line="600"/>
              <w:jc w:val="center"/>
            </w:pPr>
            <w:r/>
            <w:r>
              <w:rPr>
                <w:rFonts w:ascii="仿宋_GB2312" w:hAnsi="仿宋_GB2312" w:eastAsia="仿宋_GB2312"/>
                <w:b w:val="0"/>
                <w:color w:val="000000"/>
                <w:sz w:val="32"/>
              </w:rPr>
              <w:t>88.72*</w:t>
            </w:r>
          </w:p>
        </w:tc>
        <w:tc>
          <w:tcPr>
            <w:tcW w:type="dxa" w:w="1701"/>
          </w:tcPr>
          <w:p>
            <w:pPr>
              <w:spacing w:lineRule="exact" w:line="600"/>
              <w:jc w:val="center"/>
            </w:pPr>
            <w:r/>
            <w:r>
              <w:rPr>
                <w:rFonts w:ascii="仿宋_GB2312" w:hAnsi="仿宋_GB2312" w:eastAsia="仿宋_GB2312"/>
                <w:b w:val="0"/>
                <w:color w:val="000000"/>
                <w:sz w:val="32"/>
              </w:rPr>
              <w:t>12.35*</w:t>
            </w:r>
          </w:p>
        </w:tc>
        <w:tc>
          <w:tcPr>
            <w:tcW w:type="dxa" w:w="1814"/>
          </w:tcPr>
          <w:p>
            <w:pPr>
              <w:spacing w:lineRule="exact" w:line="600"/>
              <w:jc w:val="center"/>
            </w:pPr>
            <w:r/>
            <w:r>
              <w:rPr>
                <w:rFonts w:ascii="仿宋_GB2312" w:hAnsi="仿宋_GB2312" w:eastAsia="仿宋_GB2312"/>
                <w:b w:val="0"/>
                <w:color w:val="000000"/>
                <w:sz w:val="32"/>
              </w:rPr>
              <w:t>1.88*</w:t>
            </w:r>
          </w:p>
        </w:tc>
      </w:tr>
      <w:tr>
        <w:tc>
          <w:tcPr>
            <w:tcW w:type="dxa" w:w="1247"/>
          </w:tcPr>
          <w:p>
            <w:pPr>
              <w:spacing w:lineRule="exact" w:line="600"/>
              <w:jc w:val="center"/>
            </w:pPr>
            <w:r/>
            <w:r>
              <w:rPr>
                <w:rFonts w:ascii="仿宋_GB2312" w:hAnsi="仿宋_GB2312" w:eastAsia="仿宋_GB2312"/>
                <w:b w:val="0"/>
                <w:color w:val="000000"/>
                <w:sz w:val="32"/>
              </w:rPr>
              <w:t>2023</w:t>
            </w:r>
          </w:p>
        </w:tc>
        <w:tc>
          <w:tcPr>
            <w:tcW w:type="dxa" w:w="1814"/>
          </w:tcPr>
          <w:p>
            <w:pPr>
              <w:spacing w:lineRule="exact" w:line="600"/>
              <w:jc w:val="center"/>
            </w:pPr>
            <w:r/>
            <w:r>
              <w:rPr>
                <w:rFonts w:ascii="仿宋_GB2312" w:hAnsi="仿宋_GB2312" w:eastAsia="仿宋_GB2312"/>
                <w:b w:val="0"/>
                <w:color w:val="000000"/>
                <w:sz w:val="32"/>
              </w:rPr>
              <w:t>4.14</w:t>
            </w:r>
          </w:p>
        </w:tc>
        <w:tc>
          <w:tcPr>
            <w:tcW w:type="dxa" w:w="1814"/>
          </w:tcPr>
          <w:p>
            <w:pPr>
              <w:spacing w:lineRule="exact" w:line="600"/>
              <w:jc w:val="center"/>
            </w:pPr>
            <w:r/>
            <w:r>
              <w:rPr>
                <w:rFonts w:ascii="仿宋_GB2312" w:hAnsi="仿宋_GB2312" w:eastAsia="仿宋_GB2312"/>
                <w:b w:val="0"/>
                <w:color w:val="000000"/>
                <w:sz w:val="32"/>
              </w:rPr>
              <w:t>1.91</w:t>
            </w:r>
          </w:p>
        </w:tc>
        <w:tc>
          <w:tcPr>
            <w:tcW w:type="dxa" w:w="1474"/>
          </w:tcPr>
          <w:p>
            <w:pPr>
              <w:spacing w:lineRule="exact" w:line="600"/>
              <w:jc w:val="center"/>
            </w:pPr>
            <w:r/>
            <w:r>
              <w:rPr>
                <w:rFonts w:ascii="仿宋_GB2312" w:hAnsi="仿宋_GB2312" w:eastAsia="仿宋_GB2312"/>
                <w:b w:val="0"/>
                <w:color w:val="000000"/>
                <w:sz w:val="32"/>
              </w:rPr>
              <w:t>89.90</w:t>
            </w:r>
          </w:p>
        </w:tc>
        <w:tc>
          <w:tcPr>
            <w:tcW w:type="dxa" w:w="1701"/>
          </w:tcPr>
          <w:p>
            <w:pPr>
              <w:spacing w:lineRule="exact" w:line="600"/>
              <w:jc w:val="center"/>
            </w:pPr>
            <w:r/>
            <w:r>
              <w:rPr>
                <w:rFonts w:ascii="仿宋_GB2312" w:hAnsi="仿宋_GB2312" w:eastAsia="仿宋_GB2312"/>
                <w:b w:val="0"/>
                <w:color w:val="000000"/>
                <w:sz w:val="32"/>
              </w:rPr>
              <w:t>10.04</w:t>
            </w:r>
          </w:p>
        </w:tc>
        <w:tc>
          <w:tcPr>
            <w:tcW w:type="dxa" w:w="1814"/>
          </w:tcPr>
          <w:p>
            <w:pPr>
              <w:spacing w:lineRule="exact" w:line="600"/>
              <w:jc w:val="center"/>
            </w:pPr>
            <w:r/>
            <w:r>
              <w:rPr>
                <w:rFonts w:ascii="仿宋_GB2312" w:hAnsi="仿宋_GB2312" w:eastAsia="仿宋_GB2312"/>
                <w:b w:val="0"/>
                <w:color w:val="000000"/>
                <w:sz w:val="32"/>
              </w:rPr>
              <w:t>1.80</w:t>
            </w:r>
          </w:p>
        </w:tc>
      </w:tr>
      <w:tr>
        <w:tc>
          <w:tcPr>
            <w:tcW w:type="dxa" w:w="1247"/>
          </w:tcPr>
          <w:p>
            <w:pPr>
              <w:spacing w:lineRule="exact" w:line="600"/>
              <w:jc w:val="center"/>
            </w:pPr>
            <w:r/>
            <w:r>
              <w:rPr>
                <w:rFonts w:ascii="仿宋_GB2312" w:hAnsi="仿宋_GB2312" w:eastAsia="仿宋_GB2312"/>
                <w:b w:val="0"/>
                <w:color w:val="000000"/>
                <w:sz w:val="32"/>
              </w:rPr>
              <w:t>2024</w:t>
            </w:r>
          </w:p>
        </w:tc>
        <w:tc>
          <w:tcPr>
            <w:tcW w:type="dxa" w:w="1814"/>
          </w:tcPr>
          <w:p>
            <w:pPr>
              <w:spacing w:lineRule="exact" w:line="600"/>
              <w:jc w:val="center"/>
            </w:pPr>
            <w:r/>
            <w:r>
              <w:rPr>
                <w:rFonts w:ascii="仿宋_GB2312" w:hAnsi="仿宋_GB2312" w:eastAsia="仿宋_GB2312"/>
                <w:b w:val="0"/>
                <w:color w:val="000000"/>
                <w:sz w:val="32"/>
              </w:rPr>
              <w:t>3.63</w:t>
            </w:r>
          </w:p>
        </w:tc>
        <w:tc>
          <w:tcPr>
            <w:tcW w:type="dxa" w:w="1814"/>
          </w:tcPr>
          <w:p>
            <w:pPr>
              <w:spacing w:lineRule="exact" w:line="600"/>
              <w:jc w:val="center"/>
            </w:pPr>
            <w:r/>
            <w:r>
              <w:rPr>
                <w:rFonts w:ascii="仿宋_GB2312" w:hAnsi="仿宋_GB2312" w:eastAsia="仿宋_GB2312"/>
                <w:b w:val="0"/>
                <w:color w:val="000000"/>
                <w:sz w:val="32"/>
              </w:rPr>
              <w:t>1.35</w:t>
            </w:r>
          </w:p>
        </w:tc>
        <w:tc>
          <w:tcPr>
            <w:tcW w:type="dxa" w:w="1474"/>
          </w:tcPr>
          <w:p>
            <w:pPr>
              <w:spacing w:lineRule="exact" w:line="600"/>
              <w:jc w:val="center"/>
            </w:pPr>
            <w:r/>
            <w:r>
              <w:rPr>
                <w:rFonts w:ascii="仿宋_GB2312" w:hAnsi="仿宋_GB2312" w:eastAsia="仿宋_GB2312"/>
                <w:b w:val="0"/>
                <w:color w:val="000000"/>
                <w:sz w:val="32"/>
              </w:rPr>
              <w:t>87.64</w:t>
            </w:r>
          </w:p>
        </w:tc>
        <w:tc>
          <w:tcPr>
            <w:tcW w:type="dxa" w:w="1701"/>
          </w:tcPr>
          <w:p>
            <w:pPr>
              <w:spacing w:lineRule="exact" w:line="600"/>
              <w:jc w:val="center"/>
            </w:pPr>
            <w:r/>
            <w:r>
              <w:rPr>
                <w:rFonts w:ascii="仿宋_GB2312" w:hAnsi="仿宋_GB2312" w:eastAsia="仿宋_GB2312"/>
                <w:b w:val="0"/>
                <w:color w:val="000000"/>
                <w:sz w:val="32"/>
              </w:rPr>
              <w:t>9.32</w:t>
            </w:r>
          </w:p>
        </w:tc>
        <w:tc>
          <w:tcPr>
            <w:tcW w:type="dxa" w:w="1814"/>
          </w:tcPr>
          <w:p>
            <w:pPr>
              <w:spacing w:lineRule="exact" w:line="600"/>
              <w:jc w:val="center"/>
            </w:pPr>
            <w:r/>
            <w:r>
              <w:rPr>
                <w:rFonts w:ascii="仿宋_GB2312" w:hAnsi="仿宋_GB2312" w:eastAsia="仿宋_GB2312"/>
                <w:b w:val="0"/>
                <w:color w:val="000000"/>
                <w:sz w:val="32"/>
              </w:rPr>
              <w:t>1.51</w:t>
            </w:r>
          </w:p>
        </w:tc>
      </w:tr>
    </w:tbl>
    <w:p>
      <w:pPr>
        <w:spacing w:lineRule="exact" w:line="600" w:before="0" w:after="0"/>
        <w:jc w:val="left"/>
      </w:pPr>
      <w:r>
        <w:rPr>
          <w:rFonts w:ascii="仿宋_GB2312" w:hAnsi="仿宋_GB2312" w:eastAsia="仿宋_GB2312"/>
          <w:b w:val="0"/>
          <w:color w:val="000000"/>
          <w:sz w:val="28"/>
        </w:rPr>
        <w:t>（注：带*的2022年数据为根据年报披露的同比变动反推测算值。2023—2024年数据来源于公司年度报告及东方财富/同花顺，单位亿元。）</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毛利率长期高于86%（2024年87.64%），盈利能力优秀但呈小幅下滑（2024年-2.26个百分点）。受集采影响，2024年营收3.63亿元（同比-12.19%）、归母净利润1.35亿元（同比-29.49%）、扣非净利1.13亿元（同比-32.59%），为近五年最大降幅。净利率37.07%，仍高于行业平均。若剔除集采，成本端管控有效（硬脑膜补片通过供应链优化抵消部分降价）。</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2024年末总资产9.80亿元，资产轻、质量优，以货币资金、应收、存货及长期资产为主，无有息负债。资产负债率仅9.32%，速动比率8.39，资产结构极为稳健。</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公司几乎无有息负债，2024年末资产负债率9.32%，有息负债率0%，流动比率8.82、速动比率8.39，偿债能力与财务安全性极强，无刚性偿债压力。</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2024年经营活动现金流净额1.51亿元（同比-16.12%），销售现金比率41.68%，净利润现金含量112.44%，盈利现金含量高。自由现金流量2.30亿元，分红8171万元（10派4.6元），上市以来累计分红5.36亿元，分红融资比2.29，股东回报优厚。</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医疗耗材同行相比，正海生物毛利率（87.64%）、净利率（37.07%）、ROE（14.66%）均处行业前列，财务稳健性突出；短板在于收入规模小、产品结构单一（两大传统产品占85%+），且受集采冲击收入下滑，成长性弱于平台型器械龙头。</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公司为创业板上市公司，设立股东大会、董事会（含独立董事）、监事会及管理层，治理规范。控股股东、实控人秘波海（持股33.87%），股权结构清晰稳定。</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郭焕祥任董事长（正高级工程师，多年正海体系管理经验）；总经理宋侃（曾任董事长兼董秘，2024年薪酬约111.61万元）；财务负责人赵丽。管理团队产业经验深厚。</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公司建立符合医疗器械GMP与ISO质量体系的内控，研发立项、注册、生产、销售全流程合规管理，三类器械质量与不良事件监测为内控重点。</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2024年末员工375人（同比+12.95%），人均创收96.86万元、人均创利35.9万元。研发人员占比高，2024年研发投入3,952万元（占营收10.88%），支撑管线迭代。</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1. 技术壁垒：生物再生材料配方与工艺具高门槛，活性生物骨为国内首款rhBMP-2药械组合产品，研发壁垒高。</w:t>
      </w:r>
    </w:p>
    <w:p>
      <w:pPr>
        <w:spacing w:lineRule="exact" w:line="600" w:before="0" w:after="0"/>
        <w:ind w:firstLine="420"/>
        <w:jc w:val="both"/>
      </w:pPr>
      <w:r>
        <w:rPr>
          <w:rFonts w:ascii="仿宋_GB2312" w:hAnsi="仿宋_GB2312" w:eastAsia="仿宋_GB2312"/>
          <w:b w:val="0"/>
          <w:color w:val="000000"/>
          <w:sz w:val="32"/>
        </w:rPr>
        <w:t>2. 牌照与先发：多项三类医疗器械注册证构成准入壁垒；硬脑膜补片集采省份全中标，份额稳固。</w:t>
      </w:r>
    </w:p>
    <w:p>
      <w:pPr>
        <w:spacing w:lineRule="exact" w:line="600" w:before="0" w:after="0"/>
        <w:ind w:firstLine="420"/>
        <w:jc w:val="both"/>
      </w:pPr>
      <w:r>
        <w:rPr>
          <w:rFonts w:ascii="仿宋_GB2312" w:hAnsi="仿宋_GB2312" w:eastAsia="仿宋_GB2312"/>
          <w:b w:val="0"/>
          <w:color w:val="000000"/>
          <w:sz w:val="32"/>
        </w:rPr>
        <w:t>3. 高毛利与品牌：毛利率长期86%+，正海品牌在口腔与神经外科领域认知度高。</w:t>
      </w:r>
    </w:p>
    <w:p>
      <w:pPr>
        <w:spacing w:lineRule="exact" w:line="600" w:before="0" w:after="0"/>
        <w:ind w:firstLine="420"/>
        <w:jc w:val="both"/>
      </w:pPr>
      <w:r>
        <w:rPr>
          <w:rFonts w:ascii="仿宋_GB2312" w:hAnsi="仿宋_GB2312" w:eastAsia="仿宋_GB2312"/>
          <w:b w:val="0"/>
          <w:color w:val="000000"/>
          <w:sz w:val="32"/>
        </w:rPr>
        <w:t>4. 财务稳健：零有息负债、高现金含量，抗风险与再投资能力强。</w:t>
      </w:r>
    </w:p>
    <w:p>
      <w:pPr>
        <w:spacing w:lineRule="exact" w:line="600" w:before="0" w:after="0"/>
        <w:ind w:firstLine="420"/>
        <w:jc w:val="both"/>
      </w:pPr>
      <w:r>
        <w:rPr>
          <w:rFonts w:ascii="仿宋_GB2312" w:hAnsi="仿宋_GB2312" w:eastAsia="仿宋_GB2312"/>
          <w:b w:val="0"/>
          <w:color w:val="000000"/>
          <w:sz w:val="32"/>
        </w:rPr>
        <w:t>5. 集团协同：依托正海集团多元产业与资本平台，具备持续投入与产业协同基础。</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1. 产品结构单一风险：口腔修复膜+脑膜补片占营收85%以上，任一品类受集采或需求波动冲击将显著影响整体业绩。</w:t>
      </w:r>
    </w:p>
    <w:p>
      <w:pPr>
        <w:spacing w:lineRule="exact" w:line="600" w:before="0" w:after="0"/>
        <w:ind w:firstLine="420"/>
        <w:jc w:val="both"/>
      </w:pPr>
      <w:r>
        <w:rPr>
          <w:rFonts w:ascii="仿宋_GB2312" w:hAnsi="仿宋_GB2312" w:eastAsia="仿宋_GB2312"/>
          <w:b w:val="0"/>
          <w:color w:val="000000"/>
          <w:sz w:val="32"/>
        </w:rPr>
        <w:t>2. 集采降价风险：硬脑膜补片六省联盟集采价格降幅高达83.46%，口腔修复膜受种植牙集采传导毛利率下滑；以价换量效果尚未充分体现。</w:t>
      </w:r>
    </w:p>
    <w:p>
      <w:pPr>
        <w:spacing w:lineRule="exact" w:line="600" w:before="0" w:after="0"/>
        <w:ind w:firstLine="420"/>
        <w:jc w:val="both"/>
      </w:pPr>
      <w:r>
        <w:rPr>
          <w:rFonts w:ascii="仿宋_GB2312" w:hAnsi="仿宋_GB2312" w:eastAsia="仿宋_GB2312"/>
          <w:b w:val="0"/>
          <w:color w:val="000000"/>
          <w:sz w:val="32"/>
        </w:rPr>
        <w:t>3. 新品放量不及预期风险：活性生物骨虽为亮点，但入院与放量需时，短期难抵传统产品下滑；钙硅骨修复材料、乳房补片等在研产品兑现时点不确定。</w:t>
      </w:r>
    </w:p>
    <w:p>
      <w:pPr>
        <w:spacing w:lineRule="exact" w:line="600" w:before="0" w:after="0"/>
        <w:ind w:firstLine="420"/>
        <w:jc w:val="both"/>
      </w:pPr>
      <w:r>
        <w:rPr>
          <w:rFonts w:ascii="仿宋_GB2312" w:hAnsi="仿宋_GB2312" w:eastAsia="仿宋_GB2312"/>
          <w:b w:val="0"/>
          <w:color w:val="000000"/>
          <w:sz w:val="32"/>
        </w:rPr>
        <w:t>4. 需求波动风险：消费医疗（种植牙）需求恢复缓慢、手术量波动影响口腔业务。公司应对措施：加速新品挂网入院、拓展膜粉组合、优化成本、积极参与集采守住份额。</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1. 供应链金融：原材料采购与经销环节可开展应收账款保理，盘活营运资金。</w:t>
      </w:r>
    </w:p>
    <w:p>
      <w:pPr>
        <w:spacing w:lineRule="exact" w:line="600" w:before="0" w:after="0"/>
        <w:ind w:firstLine="420"/>
        <w:jc w:val="both"/>
      </w:pPr>
      <w:r>
        <w:rPr>
          <w:rFonts w:ascii="仿宋_GB2312" w:hAnsi="仿宋_GB2312" w:eastAsia="仿宋_GB2312"/>
          <w:b w:val="0"/>
          <w:color w:val="000000"/>
          <w:sz w:val="32"/>
        </w:rPr>
        <w:t>2. 融资租赁：研发与生产设备升级适合以融资租赁优化支出节奏（公司现金充裕，此项需求较弱）。</w:t>
      </w:r>
    </w:p>
    <w:p>
      <w:pPr>
        <w:spacing w:lineRule="exact" w:line="600" w:before="0" w:after="0"/>
        <w:ind w:firstLine="420"/>
        <w:jc w:val="both"/>
      </w:pPr>
      <w:r>
        <w:rPr>
          <w:rFonts w:ascii="仿宋_GB2312" w:hAnsi="仿宋_GB2312" w:eastAsia="仿宋_GB2312"/>
          <w:b w:val="0"/>
          <w:color w:val="000000"/>
          <w:sz w:val="32"/>
        </w:rPr>
        <w:t>3. 产业基金/股权投资：山东投资可支持其活性生物骨产能扩张与新品研发，或在正海集团层面开展医疗器械产业链合作。</w:t>
      </w:r>
    </w:p>
    <w:p>
      <w:pPr>
        <w:spacing w:lineRule="exact" w:line="600" w:before="0" w:after="0"/>
        <w:ind w:firstLine="420"/>
        <w:jc w:val="both"/>
      </w:pPr>
      <w:r>
        <w:rPr>
          <w:rFonts w:ascii="仿宋_GB2312" w:hAnsi="仿宋_GB2312" w:eastAsia="仿宋_GB2312"/>
          <w:b w:val="0"/>
          <w:color w:val="000000"/>
          <w:sz w:val="32"/>
        </w:rPr>
        <w:t>4. 小贷：公司自身现金流健康，仅在与集团协同或并购时存在阶段性需求，宜审慎评估。</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综合评价：正海生物是山东再生医学细分龙头，财务极其稳健、毛利率行业领先、股东回报优厚；但收入规模偏小、产品结构单一、集采冲击导致业绩承压，正处于"传统产品守份额、新品蓄力"的过渡期。</w:t>
      </w:r>
    </w:p>
    <w:p>
      <w:pPr>
        <w:spacing w:lineRule="exact" w:line="600" w:before="0" w:after="0"/>
        <w:ind w:firstLine="420"/>
        <w:jc w:val="both"/>
      </w:pPr>
      <w:r>
        <w:rPr>
          <w:rFonts w:ascii="仿宋_GB2312" w:hAnsi="仿宋_GB2312" w:eastAsia="仿宋_GB2312"/>
          <w:b w:val="0"/>
          <w:color w:val="000000"/>
          <w:sz w:val="32"/>
        </w:rPr>
        <w:t>发展展望：据公司规划与行业研究，活性生物骨有望自2024年起逐步放量成为新增长极；钙硅骨修复材料、乳房补片、宫腔修复膜等在研产品将丰富管线。随集采以价换量兑现与消费医疗复苏，业绩有望企稳回升（机构预测2024—2026年归母净利逐步恢复）。</w:t>
      </w:r>
    </w:p>
    <w:p>
      <w:pPr>
        <w:spacing w:lineRule="exact" w:line="600" w:before="0" w:after="0"/>
        <w:ind w:firstLine="420"/>
        <w:jc w:val="both"/>
      </w:pPr>
      <w:r>
        <w:rPr>
          <w:rFonts w:ascii="仿宋_GB2312" w:hAnsi="仿宋_GB2312" w:eastAsia="仿宋_GB2312"/>
          <w:b w:val="0"/>
          <w:color w:val="000000"/>
          <w:sz w:val="32"/>
        </w:rPr>
        <w:t>建议：一是产业协同，山东投资可关注其在烟台黄渤海新区再生医学产业链的扩产与并购机会；二是融资以供应链金融为主、股权合作为辅；三是风险提示，密切跟踪集采降价幅度与活性生物骨放量进度，控制相关授信敞口。</w:t>
      </w:r>
    </w:p>
    <w:p>
      <w:pPr>
        <w:spacing w:lineRule="exact" w:line="600" w:before="120" w:after="120"/>
        <w:ind w:firstLine="420"/>
        <w:jc w:val="left"/>
      </w:pPr>
      <w:r>
        <w:rPr>
          <w:rFonts w:ascii="楷体_GB2312" w:hAnsi="楷体_GB2312" w:eastAsia="楷体_GB2312"/>
          <w:b w:val="0"/>
          <w:color w:val="000000"/>
          <w:sz w:val="32"/>
        </w:rPr>
        <w:t>（附）数据来源说明</w:t>
      </w:r>
    </w:p>
    <w:p>
      <w:pPr>
        <w:spacing w:lineRule="exact" w:line="600" w:before="0" w:after="0"/>
        <w:ind w:firstLine="420"/>
        <w:jc w:val="both"/>
      </w:pPr>
      <w:r>
        <w:rPr>
          <w:rFonts w:ascii="仿宋_GB2312" w:hAnsi="仿宋_GB2312" w:eastAsia="仿宋_GB2312"/>
          <w:b w:val="0"/>
          <w:color w:val="000000"/>
          <w:sz w:val="32"/>
        </w:rPr>
        <w:t>本报告使用数据来源：正海生物2022—2024年年度报告（深交所/巨潮网）、东方财富/同花顺财务指标、公司官网（zhbio.com）、经济参考报/新浪财经/搜狐财经报道、华泰证券研究报告。前瞻性描述以公司披露及行业研究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