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烟台市黄渤海新区生物医药特色产业集群</w:t>
      </w:r>
    </w:p>
    <w:p>
      <w:pPr>
        <w:spacing w:lineRule="exact" w:line="600" w:before="240" w:after="240"/>
        <w:ind w:firstLine="0"/>
        <w:jc w:val="center"/>
      </w:pPr>
      <w:r>
        <w:rPr>
          <w:rFonts w:ascii="方正小标宋简体" w:hAnsi="方正小标宋简体" w:eastAsia="方正小标宋简体"/>
          <w:b w:val="0"/>
          <w:color w:val="000000"/>
          <w:sz w:val="44"/>
        </w:rPr>
        <w:t>荣昌生物制药(烟台)股份有限公司企业分析报告</w:t>
      </w:r>
    </w:p>
    <w:p>
      <w:pPr>
        <w:spacing w:lineRule="exact" w:line="600" w:before="0" w:after="0"/>
        <w:jc w:val="left"/>
      </w:pPr>
      <w:r>
        <w:rPr>
          <w:rFonts w:ascii="仿宋_GB2312" w:hAnsi="仿宋_GB2312" w:eastAsia="仿宋_GB2312"/>
          <w:b w:val="0"/>
          <w:color w:val="000000"/>
          <w:sz w:val="28"/>
        </w:rPr>
        <w:t>（本报告数据来源于荣昌生物2022—2024年年度报告中英文披露、港交所/上交所公告、巨潮网、东方财富、同花顺、公司官网及证券时报/界面新闻等权威媒体报道。统计时点截至2024年年度报告及2025年公开信息。部分前瞻性与在研管线数据以公司披露及行业研究为准。）</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荣昌生物制药(烟台)股份有限公司（证券简称：荣昌生物；科创板代码：688331.SH；港交所代码：09995.HK）成立于2008年7月4日，法定代表人王威东，注册资本56,447.7483万元人民币，统一社会信用代码91370600676820877R，注册地址位于中国（山东）自由贸易试验区烟台片区烟台开发区北京中路58号。公司为股份有限公司（上市），属医药生物—生物制品行业，是集新药发现、开发、生产和商业化于一体的创新型生物制药企业，A+H两地上市。</w:t>
      </w:r>
    </w:p>
    <w:p>
      <w:pPr>
        <w:spacing w:lineRule="exact" w:line="600" w:before="0" w:after="0"/>
        <w:ind w:firstLine="420"/>
        <w:jc w:val="both"/>
      </w:pPr>
      <w:r>
        <w:rPr>
          <w:rFonts w:ascii="仿宋_GB2312" w:hAnsi="仿宋_GB2312" w:eastAsia="仿宋_GB2312"/>
          <w:b w:val="0"/>
          <w:color w:val="000000"/>
          <w:sz w:val="32"/>
        </w:rPr>
        <w:t>公司由王威东先生领导的烟台荣昌制药股份有限公司与留美科学家房健民博士于2008年共同创立，总部位于山东省烟台市，在中国北京、上海、烟台及美国旧金山设有研发中心和办事机构。截至2024年末，公司员工规模持续扩大，自身免疫与肿瘤两大商业化团队合计超过1,300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采用集团化架构，母公司为荣昌生物制药(烟台)股份有限公司，下设美国研发与运营主体，并通过员工持股平台（烟台荣达、烟台荣谦、烟台荣益、烟台荣实、烟台荣建等合伙企业）及烟台荣昌控股集团有限公司实施激励与控股安排。公司核心在研与生产平台包括大分子药物研发中心、生产基地（烟台开发区）、以及控股子公司迈百瑞（生物药CDMO）等协同主体。</w:t>
      </w:r>
    </w:p>
    <w:p>
      <w:pPr>
        <w:spacing w:lineRule="exact" w:line="600" w:before="0" w:after="0"/>
        <w:ind w:firstLine="420"/>
        <w:jc w:val="both"/>
      </w:pPr>
      <w:r>
        <w:rPr>
          <w:rFonts w:ascii="仿宋_GB2312" w:hAnsi="仿宋_GB2312" w:eastAsia="仿宋_GB2312"/>
          <w:b w:val="0"/>
          <w:color w:val="000000"/>
          <w:sz w:val="32"/>
        </w:rPr>
        <w:t>董事会设执行董事与非执行董事，王威东任董事长，房健民任执行董事、首席执行官；管理层涵盖首席医学官、首席运营官、首席制造官、首席财务官等职能部门。公司已建立符合境内外监管要求的法人治理与内控体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2008年，公司由烟台荣昌制药与房健民博士共同创立；2020年11月，荣昌生物在港交所主板上市（09995.HK）；2022年3月，登陆上海证券交易所科创板（688331.SH），成为A+H两地上市创新药企。2021年，核心产品泰它西普（RC18）、维迪西妥单抗（RC48）相继获批上市并纳入国家医保目录，开启商业化阶段；2024年，公司营收达17.17亿元，同比大幅增长58.5%，亏损幅度持续收窄，进入商业化加速与盈利拐点前期。</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临床价值创造者"，聚焦自身免疫、肿瘤、眼科等重大疾病领域，致力于发现、开发、生产和商业化同类首创（First-in-Class）、同类最佳（Best-in-Class）的生物药物。主营业务为创新生物药的研发、生产与商业化，已上市产品包括泰它西普（商品名：泰爱®，BLyS/APRIL双靶点融合蛋白，用于系统性红斑狼疮SLE、类风湿关节炎RA等）、维迪西妥单抗（商品名：爱地希®，国产首个获批ADC药物，靶向HER2，用于胃癌、尿路上皮癌、乳腺癌等），在研管线涵盖RC28（眼科VEGF/FGF双靶点）、RC88、RC148、RC278等多款创新分子。</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高度集中于生物药销售。2024年，生物药收入16.99亿元，占主营收入98.97%；技术服务收入0.11亿元，占0.64%；其他业务0.07亿元，占0.39%。按市场区域，境内收入16.99亿元（占比98.97%），境外收入0.11亿元（占比0.64%），收入以境内为主。</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泰它西普（RC18）为全球首个获批的SLE治疗双靶点生物新药，已获批系统性红斑狼疮、类风湿关节炎两项适应症，重症肌无力（MG）适应症已于2025年获批并纳入医保；维迪西妥单抗（RC48）为中国首款自主研发的ADC创新药，已获批HER2表达胃癌、尿路上皮癌、HER2阳性伴肝转移晚期乳腺癌等适应症。两款产品均已完成超过1,000家医院准入。</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主要面向国内三级医院、专科医院及肿瘤/自免科室，销售通过自营商业化团队（自身免疫团队逾800人、肿瘤科团队近600人）覆盖医院终端，并依托医保目录放量。下游为医疗机构与患者，客户集中度较低，受医保支付与医院准入政策影响较大。</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作为生物药生产企业，公司采购主要包括原辅料、培养基、一次性耗材、生产设备与CRO/CDMO服务。公司强调供应链自主可控，部分关键环节自产或战略合作，供应商管理纳入质量体系（符合GMP及境内外监管要求）。公开资料未披露前五大供应商具体名单及占比。</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烟台开发区大分子药物生产基地，具备从原液到制剂的产业化能力，并持续推进产能扩张与工艺优化（2024年综合毛利率提升至80.4%，规模效应显现）。公司已取得生物制品生产、经营相关许可，核心产品取得国家药品监督管理局（NMPA）药品注册证书，并获FDA孤儿药资格、快速通道资格（泰它西普重症肌无力美国III期）。</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自营学术推广模式，分设自身免疫与肿瘤两条商业化产品线，深度推进医院准入、医保落地与基层渠道下沉。2024年泰它西普销量突破150万支（同比+94.87%），维迪西妥单抗销量超23万支（同比+36.54%）。公司亦探索海外授权（BD）与全球化临床（美国多中心III期），以拓展国际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产品销售额16.99亿元，较2023年10.49亿元同比增长超60%。泰它西普在自免双靶点领域处于国内领先，维迪西妥单抗为国产ADC先行者。两款核心产品在国内相应细分适应症市场占据先发与份额优势，但整体商业化收入尚处成长阶段，市场份额随适应症拓展持续提升。</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1474"/>
        <w:gridCol w:w="1474"/>
        <w:gridCol w:w="1474"/>
        <w:gridCol w:w="1474"/>
        <w:gridCol w:w="1474"/>
        <w:gridCol w:w="1474"/>
      </w:tblGrid>
      <w:tr>
        <w:tc>
          <w:tcPr>
            <w:tcW w:type="dxa" w:w="1247"/>
          </w:tcPr>
          <w:p>
            <w:pPr>
              <w:spacing w:lineRule="exact" w:line="600"/>
              <w:jc w:val="center"/>
            </w:pPr>
            <w:r/>
            <w:r>
              <w:rPr>
                <w:rFonts w:ascii="黑体" w:hAnsi="黑体" w:eastAsia="黑体"/>
                <w:b/>
                <w:color w:val="000000"/>
                <w:sz w:val="32"/>
              </w:rPr>
              <w:t>年份</w:t>
            </w:r>
          </w:p>
        </w:tc>
        <w:tc>
          <w:tcPr>
            <w:tcW w:type="dxa" w:w="1814"/>
          </w:tcPr>
          <w:p>
            <w:pPr>
              <w:spacing w:lineRule="exact" w:line="600"/>
              <w:jc w:val="center"/>
            </w:pPr>
            <w:r/>
            <w:r>
              <w:rPr>
                <w:rFonts w:ascii="黑体" w:hAnsi="黑体" w:eastAsia="黑体"/>
                <w:b/>
                <w:color w:val="000000"/>
                <w:sz w:val="32"/>
              </w:rPr>
              <w:t>营业收入(亿元)</w:t>
            </w:r>
          </w:p>
        </w:tc>
        <w:tc>
          <w:tcPr>
            <w:tcW w:type="dxa" w:w="1814"/>
          </w:tcPr>
          <w:p>
            <w:pPr>
              <w:spacing w:lineRule="exact" w:line="600"/>
              <w:jc w:val="center"/>
            </w:pPr>
            <w:r/>
            <w:r>
              <w:rPr>
                <w:rFonts w:ascii="黑体" w:hAnsi="黑体" w:eastAsia="黑体"/>
                <w:b/>
                <w:color w:val="000000"/>
                <w:sz w:val="32"/>
              </w:rPr>
              <w:t>归母净利润(亿元)</w:t>
            </w:r>
          </w:p>
        </w:tc>
        <w:tc>
          <w:tcPr>
            <w:tcW w:type="dxa" w:w="1474"/>
          </w:tcPr>
          <w:p>
            <w:pPr>
              <w:spacing w:lineRule="exact" w:line="600"/>
              <w:jc w:val="center"/>
            </w:pPr>
            <w:r/>
            <w:r>
              <w:rPr>
                <w:rFonts w:ascii="黑体" w:hAnsi="黑体" w:eastAsia="黑体"/>
                <w:b/>
                <w:color w:val="000000"/>
                <w:sz w:val="32"/>
              </w:rPr>
              <w:t>毛利率(%)</w:t>
            </w:r>
          </w:p>
        </w:tc>
        <w:tc>
          <w:tcPr>
            <w:tcW w:type="dxa" w:w="1701"/>
          </w:tcPr>
          <w:p>
            <w:pPr>
              <w:spacing w:lineRule="exact" w:line="600"/>
              <w:jc w:val="center"/>
            </w:pPr>
            <w:r/>
            <w:r>
              <w:rPr>
                <w:rFonts w:ascii="黑体" w:hAnsi="黑体" w:eastAsia="黑体"/>
                <w:b/>
                <w:color w:val="000000"/>
                <w:sz w:val="32"/>
              </w:rPr>
              <w:t>资产负债率(%)</w:t>
            </w:r>
          </w:p>
        </w:tc>
        <w:tc>
          <w:tcPr>
            <w:tcW w:type="dxa" w:w="1814"/>
          </w:tcPr>
          <w:p>
            <w:pPr>
              <w:spacing w:lineRule="exact" w:line="600"/>
              <w:jc w:val="center"/>
            </w:pPr>
            <w:r/>
            <w:r>
              <w:rPr>
                <w:rFonts w:ascii="黑体" w:hAnsi="黑体" w:eastAsia="黑体"/>
                <w:b/>
                <w:color w:val="000000"/>
                <w:sz w:val="32"/>
              </w:rPr>
              <w:t>经营现金流(亿元)</w:t>
            </w:r>
          </w:p>
        </w:tc>
      </w:tr>
      <w:tr>
        <w:tc>
          <w:tcPr>
            <w:tcW w:type="dxa" w:w="1247"/>
          </w:tcPr>
          <w:p>
            <w:pPr>
              <w:spacing w:lineRule="exact" w:line="600"/>
              <w:jc w:val="center"/>
            </w:pPr>
            <w:r/>
            <w:r>
              <w:rPr>
                <w:rFonts w:ascii="仿宋_GB2312" w:hAnsi="仿宋_GB2312" w:eastAsia="仿宋_GB2312"/>
                <w:b w:val="0"/>
                <w:color w:val="000000"/>
                <w:sz w:val="32"/>
              </w:rPr>
              <w:t>2022</w:t>
            </w:r>
          </w:p>
        </w:tc>
        <w:tc>
          <w:tcPr>
            <w:tcW w:type="dxa" w:w="1814"/>
          </w:tcPr>
          <w:p>
            <w:pPr>
              <w:spacing w:lineRule="exact" w:line="600"/>
              <w:jc w:val="center"/>
            </w:pPr>
            <w:r/>
            <w:r>
              <w:rPr>
                <w:rFonts w:ascii="仿宋_GB2312" w:hAnsi="仿宋_GB2312" w:eastAsia="仿宋_GB2312"/>
                <w:b w:val="0"/>
                <w:color w:val="000000"/>
                <w:sz w:val="32"/>
              </w:rPr>
              <w:t>7.72</w:t>
            </w:r>
          </w:p>
        </w:tc>
        <w:tc>
          <w:tcPr>
            <w:tcW w:type="dxa" w:w="1814"/>
          </w:tcPr>
          <w:p>
            <w:pPr>
              <w:spacing w:lineRule="exact" w:line="600"/>
              <w:jc w:val="center"/>
            </w:pPr>
            <w:r/>
            <w:r>
              <w:rPr>
                <w:rFonts w:ascii="仿宋_GB2312" w:hAnsi="仿宋_GB2312" w:eastAsia="仿宋_GB2312"/>
                <w:b w:val="0"/>
                <w:color w:val="000000"/>
                <w:sz w:val="32"/>
              </w:rPr>
              <w:t>-9.99</w:t>
            </w:r>
          </w:p>
        </w:tc>
        <w:tc>
          <w:tcPr>
            <w:tcW w:type="dxa" w:w="1474"/>
          </w:tcPr>
          <w:p>
            <w:pPr>
              <w:spacing w:lineRule="exact" w:line="600"/>
              <w:jc w:val="center"/>
            </w:pPr>
            <w:r/>
            <w:r>
              <w:rPr>
                <w:rFonts w:ascii="仿宋_GB2312" w:hAnsi="仿宋_GB2312" w:eastAsia="仿宋_GB2312"/>
                <w:b w:val="0"/>
                <w:color w:val="000000"/>
                <w:sz w:val="32"/>
              </w:rPr>
              <w:t>64.76</w:t>
            </w:r>
          </w:p>
        </w:tc>
        <w:tc>
          <w:tcPr>
            <w:tcW w:type="dxa" w:w="1701"/>
          </w:tcPr>
          <w:p>
            <w:pPr>
              <w:spacing w:lineRule="exact" w:line="600"/>
              <w:jc w:val="center"/>
            </w:pPr>
            <w:r/>
            <w:r>
              <w:rPr>
                <w:rFonts w:ascii="仿宋_GB2312" w:hAnsi="仿宋_GB2312" w:eastAsia="仿宋_GB2312"/>
                <w:b w:val="0"/>
                <w:color w:val="000000"/>
                <w:sz w:val="32"/>
              </w:rPr>
              <w:t>17.28</w:t>
            </w:r>
          </w:p>
        </w:tc>
        <w:tc>
          <w:tcPr>
            <w:tcW w:type="dxa" w:w="1814"/>
          </w:tcPr>
          <w:p>
            <w:pPr>
              <w:spacing w:lineRule="exact" w:line="600"/>
              <w:jc w:val="center"/>
            </w:pPr>
            <w:r/>
            <w:r>
              <w:rPr>
                <w:rFonts w:ascii="仿宋_GB2312" w:hAnsi="仿宋_GB2312" w:eastAsia="仿宋_GB2312"/>
                <w:b w:val="0"/>
                <w:color w:val="000000"/>
                <w:sz w:val="32"/>
              </w:rPr>
              <w:t>未单列</w:t>
            </w:r>
          </w:p>
        </w:tc>
      </w:tr>
      <w:tr>
        <w:tc>
          <w:tcPr>
            <w:tcW w:type="dxa" w:w="1247"/>
          </w:tcPr>
          <w:p>
            <w:pPr>
              <w:spacing w:lineRule="exact" w:line="600"/>
              <w:jc w:val="center"/>
            </w:pPr>
            <w:r/>
            <w:r>
              <w:rPr>
                <w:rFonts w:ascii="仿宋_GB2312" w:hAnsi="仿宋_GB2312" w:eastAsia="仿宋_GB2312"/>
                <w:b w:val="0"/>
                <w:color w:val="000000"/>
                <w:sz w:val="32"/>
              </w:rPr>
              <w:t>2023</w:t>
            </w:r>
          </w:p>
        </w:tc>
        <w:tc>
          <w:tcPr>
            <w:tcW w:type="dxa" w:w="1814"/>
          </w:tcPr>
          <w:p>
            <w:pPr>
              <w:spacing w:lineRule="exact" w:line="600"/>
              <w:jc w:val="center"/>
            </w:pPr>
            <w:r/>
            <w:r>
              <w:rPr>
                <w:rFonts w:ascii="仿宋_GB2312" w:hAnsi="仿宋_GB2312" w:eastAsia="仿宋_GB2312"/>
                <w:b w:val="0"/>
                <w:color w:val="000000"/>
                <w:sz w:val="32"/>
              </w:rPr>
              <w:t>10.83</w:t>
            </w:r>
          </w:p>
        </w:tc>
        <w:tc>
          <w:tcPr>
            <w:tcW w:type="dxa" w:w="1814"/>
          </w:tcPr>
          <w:p>
            <w:pPr>
              <w:spacing w:lineRule="exact" w:line="600"/>
              <w:jc w:val="center"/>
            </w:pPr>
            <w:r/>
            <w:r>
              <w:rPr>
                <w:rFonts w:ascii="仿宋_GB2312" w:hAnsi="仿宋_GB2312" w:eastAsia="仿宋_GB2312"/>
                <w:b w:val="0"/>
                <w:color w:val="000000"/>
                <w:sz w:val="32"/>
              </w:rPr>
              <w:t>-15.11</w:t>
            </w:r>
          </w:p>
        </w:tc>
        <w:tc>
          <w:tcPr>
            <w:tcW w:type="dxa" w:w="1474"/>
          </w:tcPr>
          <w:p>
            <w:pPr>
              <w:spacing w:lineRule="exact" w:line="600"/>
              <w:jc w:val="center"/>
            </w:pPr>
            <w:r/>
            <w:r>
              <w:rPr>
                <w:rFonts w:ascii="仿宋_GB2312" w:hAnsi="仿宋_GB2312" w:eastAsia="仿宋_GB2312"/>
                <w:b w:val="0"/>
                <w:color w:val="000000"/>
                <w:sz w:val="32"/>
              </w:rPr>
              <w:t>77.43</w:t>
            </w:r>
          </w:p>
        </w:tc>
        <w:tc>
          <w:tcPr>
            <w:tcW w:type="dxa" w:w="1701"/>
          </w:tcPr>
          <w:p>
            <w:pPr>
              <w:spacing w:lineRule="exact" w:line="600"/>
              <w:jc w:val="center"/>
            </w:pPr>
            <w:r/>
            <w:r>
              <w:rPr>
                <w:rFonts w:ascii="仿宋_GB2312" w:hAnsi="仿宋_GB2312" w:eastAsia="仿宋_GB2312"/>
                <w:b w:val="0"/>
                <w:color w:val="000000"/>
                <w:sz w:val="32"/>
              </w:rPr>
              <w:t>37.82</w:t>
            </w:r>
          </w:p>
        </w:tc>
        <w:tc>
          <w:tcPr>
            <w:tcW w:type="dxa" w:w="1814"/>
          </w:tcPr>
          <w:p>
            <w:pPr>
              <w:spacing w:lineRule="exact" w:line="600"/>
              <w:jc w:val="center"/>
            </w:pPr>
            <w:r/>
            <w:r>
              <w:rPr>
                <w:rFonts w:ascii="仿宋_GB2312" w:hAnsi="仿宋_GB2312" w:eastAsia="仿宋_GB2312"/>
                <w:b w:val="0"/>
                <w:color w:val="000000"/>
                <w:sz w:val="32"/>
              </w:rPr>
              <w:t>-15.03</w:t>
            </w:r>
          </w:p>
        </w:tc>
      </w:tr>
      <w:tr>
        <w:tc>
          <w:tcPr>
            <w:tcW w:type="dxa" w:w="1247"/>
          </w:tcPr>
          <w:p>
            <w:pPr>
              <w:spacing w:lineRule="exact" w:line="600"/>
              <w:jc w:val="center"/>
            </w:pPr>
            <w:r/>
            <w:r>
              <w:rPr>
                <w:rFonts w:ascii="仿宋_GB2312" w:hAnsi="仿宋_GB2312" w:eastAsia="仿宋_GB2312"/>
                <w:b w:val="0"/>
                <w:color w:val="000000"/>
                <w:sz w:val="32"/>
              </w:rPr>
              <w:t>2024</w:t>
            </w:r>
          </w:p>
        </w:tc>
        <w:tc>
          <w:tcPr>
            <w:tcW w:type="dxa" w:w="1814"/>
          </w:tcPr>
          <w:p>
            <w:pPr>
              <w:spacing w:lineRule="exact" w:line="600"/>
              <w:jc w:val="center"/>
            </w:pPr>
            <w:r/>
            <w:r>
              <w:rPr>
                <w:rFonts w:ascii="仿宋_GB2312" w:hAnsi="仿宋_GB2312" w:eastAsia="仿宋_GB2312"/>
                <w:b w:val="0"/>
                <w:color w:val="000000"/>
                <w:sz w:val="32"/>
              </w:rPr>
              <w:t>17.17</w:t>
            </w:r>
          </w:p>
        </w:tc>
        <w:tc>
          <w:tcPr>
            <w:tcW w:type="dxa" w:w="1814"/>
          </w:tcPr>
          <w:p>
            <w:pPr>
              <w:spacing w:lineRule="exact" w:line="600"/>
              <w:jc w:val="center"/>
            </w:pPr>
            <w:r/>
            <w:r>
              <w:rPr>
                <w:rFonts w:ascii="仿宋_GB2312" w:hAnsi="仿宋_GB2312" w:eastAsia="仿宋_GB2312"/>
                <w:b w:val="0"/>
                <w:color w:val="000000"/>
                <w:sz w:val="32"/>
              </w:rPr>
              <w:t>-14.68</w:t>
            </w:r>
          </w:p>
        </w:tc>
        <w:tc>
          <w:tcPr>
            <w:tcW w:type="dxa" w:w="1474"/>
          </w:tcPr>
          <w:p>
            <w:pPr>
              <w:spacing w:lineRule="exact" w:line="600"/>
              <w:jc w:val="center"/>
            </w:pPr>
            <w:r/>
            <w:r>
              <w:rPr>
                <w:rFonts w:ascii="仿宋_GB2312" w:hAnsi="仿宋_GB2312" w:eastAsia="仿宋_GB2312"/>
                <w:b w:val="0"/>
                <w:color w:val="000000"/>
                <w:sz w:val="32"/>
              </w:rPr>
              <w:t>80.36</w:t>
            </w:r>
          </w:p>
        </w:tc>
        <w:tc>
          <w:tcPr>
            <w:tcW w:type="dxa" w:w="1701"/>
          </w:tcPr>
          <w:p>
            <w:pPr>
              <w:spacing w:lineRule="exact" w:line="600"/>
              <w:jc w:val="center"/>
            </w:pPr>
            <w:r/>
            <w:r>
              <w:rPr>
                <w:rFonts w:ascii="仿宋_GB2312" w:hAnsi="仿宋_GB2312" w:eastAsia="仿宋_GB2312"/>
                <w:b w:val="0"/>
                <w:color w:val="000000"/>
                <w:sz w:val="32"/>
              </w:rPr>
              <w:t>63.88</w:t>
            </w:r>
          </w:p>
        </w:tc>
        <w:tc>
          <w:tcPr>
            <w:tcW w:type="dxa" w:w="1814"/>
          </w:tcPr>
          <w:p>
            <w:pPr>
              <w:spacing w:lineRule="exact" w:line="600"/>
              <w:jc w:val="center"/>
            </w:pPr>
            <w:r/>
            <w:r>
              <w:rPr>
                <w:rFonts w:ascii="仿宋_GB2312" w:hAnsi="仿宋_GB2312" w:eastAsia="仿宋_GB2312"/>
                <w:b w:val="0"/>
                <w:color w:val="000000"/>
                <w:sz w:val="32"/>
              </w:rPr>
              <w:t>-11.14</w:t>
            </w:r>
          </w:p>
        </w:tc>
      </w:tr>
    </w:tbl>
    <w:p>
      <w:pPr>
        <w:spacing w:lineRule="exact" w:line="600" w:before="0" w:after="0"/>
        <w:jc w:val="left"/>
      </w:pPr>
      <w:r>
        <w:rPr>
          <w:rFonts w:ascii="仿宋_GB2312" w:hAnsi="仿宋_GB2312" w:eastAsia="仿宋_GB2312"/>
          <w:b w:val="0"/>
          <w:color w:val="000000"/>
          <w:sz w:val="28"/>
        </w:rPr>
        <w:t>（注：2022年资产负债率、毛利率系根据2023年年报同比变动反推测算；2022年经营现金流未在公开检索中单独列示。2023—2024年数据来源于公司年度报告及东方财富/同花顺财务指标，单位亿元。）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处于创新药商业化投入期，营收从2022年7.72亿元增至2024年17.17亿元，三年复合增速显著；但受高额研发投入（2024年研发费用15.40亿元，同比+17.9%）与商业化费用影响，2022—2024年连续亏损（归母净利分别为-9.99、-15.11、-14.68亿元），2024年亏损同比收窄2.84%。毛利率由64.8%提升至80.4%，盈利质量随规模效应改善；销售费用率由2023年超70%降至2024年约55%，精益管理成效显现。若不计研发费用，2024年已实现商业化盈利。</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公司总资产随定增与经营扩张增长，资产负债率由2023年37.82%升至63.88%，主要因研发投入、产能建设及借款增加。存货周转率0.48次，总资产周转率0.31次。资产以研发投入形成的无形资产、在建产能及现金为主，整体资产质量与在研管线价值高度相关。</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资产负债率63.88%，较上年提升26.05个百分点，速动比率0.75，利息保障倍数为负（-21.02倍，因利息费用与亏损）。公司2024年推出约20亿元A股定增计划（尚待通过），并出现短期借款（约10.27亿元）与长期借款（约13.41亿元），在手现金及理财、票据、银行授信合计约11亿元，短期偿债依赖再融资与经营现金流转正。</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2023、2024年经营活动现金流净额分别为-15.03亿元、-11.14亿元，持续为负，主因研发投入与人员薪酬（2023年支付给职工现金约9.95亿元）及商业化费用高企。2022—2024年前三季度货币资金由20.35亿元降至6.65亿元，现金流压力是公司经营核心约束之一；公司通过定增、银行授信及BD首付款/里程碑款缓解。</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A股创新药企相比，荣昌生物营收增速居前（2024年+58.5%），毛利率（80.4%）处于行业高位；但研发费用率（约90%）与亏损规模显著高于已实现盈利的成熟药企，资产负债率上升较快。其"高研发—高亏损—待盈利拐点"特征与同类Biotech一致，差异化在于已有两款商业化创新药且销售快速放量，距全面盈利更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A+H上市公司，设立股东大会、董事会（含独立董事）、监事会及管理层。董事会由执行董事、非执行董事与独立非执行董事组成，下设审计、薪酬与考核、战略、提名等专门委员会，治理架构符合两地监管要求。</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王威东任董事长，房健民任执行董事、首席执行官（联合创始人、首席科学官背景），温庆凯任执行董事、董事会秘书，核心管理团队兼具科学、产业与资本运作经验，多人拥有超过30年制药行业经验。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公司建立覆盖研发、生产、质量、销售、财务的内控体系，通过GMP、临床试验质量管理规范及境内外信息披露合规要求。作为创新药企，研发项目立项、费用归集与减值测试、商业化合规推广为内控重点。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截至2024年，公司自身免疫商业化团队逾800人、肿瘤科团队近600人；研发与生产基地人员随业务扩张增长。公司构建了"职业发展—培训赋能—薪酬激励"三位一体人才体系，科研人员与产业化人才储备充足，人均创收随销售放量提升。</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源头创新与管线壁垒：泰它西普为全球首个SLE双靶点生物药（First-in-Class），维迪西妥单抗为国产首个ADC，均具差异化机制与广泛适应症拓展空间，构成技术与专利壁垒。</w:t>
      </w:r>
    </w:p>
    <w:p>
      <w:pPr>
        <w:spacing w:lineRule="exact" w:line="600" w:before="0" w:after="0"/>
        <w:ind w:firstLine="420"/>
        <w:jc w:val="both"/>
      </w:pPr>
      <w:r>
        <w:rPr>
          <w:rFonts w:ascii="仿宋_GB2312" w:hAnsi="仿宋_GB2312" w:eastAsia="仿宋_GB2312"/>
          <w:b w:val="0"/>
          <w:color w:val="000000"/>
          <w:sz w:val="32"/>
        </w:rPr>
        <w:t>2. 商业化先发与医保优势：两款核心产品已纳入国家医保目录并进入超1,000家医院，先发准入与医生认知形成渠道壁垒。</w:t>
      </w:r>
    </w:p>
    <w:p>
      <w:pPr>
        <w:spacing w:lineRule="exact" w:line="600" w:before="0" w:after="0"/>
        <w:ind w:firstLine="420"/>
        <w:jc w:val="both"/>
      </w:pPr>
      <w:r>
        <w:rPr>
          <w:rFonts w:ascii="仿宋_GB2312" w:hAnsi="仿宋_GB2312" w:eastAsia="仿宋_GB2312"/>
          <w:b w:val="0"/>
          <w:color w:val="000000"/>
          <w:sz w:val="32"/>
        </w:rPr>
        <w:t>3. 平台化研发能力：拥有融合蛋白、ADC、双靶点等多技术平台及在美研发布局，可持续产出创新分子（RC28、RC88、RC148、RC278等）。</w:t>
      </w:r>
    </w:p>
    <w:p>
      <w:pPr>
        <w:spacing w:lineRule="exact" w:line="600" w:before="0" w:after="0"/>
        <w:ind w:firstLine="420"/>
        <w:jc w:val="both"/>
      </w:pPr>
      <w:r>
        <w:rPr>
          <w:rFonts w:ascii="仿宋_GB2312" w:hAnsi="仿宋_GB2312" w:eastAsia="仿宋_GB2312"/>
          <w:b w:val="0"/>
          <w:color w:val="000000"/>
          <w:sz w:val="32"/>
        </w:rPr>
        <w:t>4. 产业化与质量体系：具备大分子药物全流程产业化能力，2024年毛利率提升至80.4%，规模效应与工艺优化构筑成本与质量护城河。</w:t>
      </w:r>
    </w:p>
    <w:p>
      <w:pPr>
        <w:spacing w:lineRule="exact" w:line="600" w:before="0" w:after="0"/>
        <w:ind w:firstLine="420"/>
        <w:jc w:val="both"/>
      </w:pPr>
      <w:r>
        <w:rPr>
          <w:rFonts w:ascii="仿宋_GB2312" w:hAnsi="仿宋_GB2312" w:eastAsia="仿宋_GB2312"/>
          <w:b w:val="0"/>
          <w:color w:val="000000"/>
          <w:sz w:val="32"/>
        </w:rPr>
        <w:t>5. 资本与品牌：A+H上市平台、知名创新药企品牌及持续融资能力，支撑长周期高研发投入。</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持续亏损与现金流风险：2022—2024年连续亏损且经营现金流为负，若定增或BD融资不及预期，存在资金链压力；公司已在优化研发管线（精简部分ADC适应症）与降本增效。</w:t>
      </w:r>
    </w:p>
    <w:p>
      <w:pPr>
        <w:spacing w:lineRule="exact" w:line="600" w:before="0" w:after="0"/>
        <w:ind w:firstLine="420"/>
        <w:jc w:val="both"/>
      </w:pPr>
      <w:r>
        <w:rPr>
          <w:rFonts w:ascii="仿宋_GB2312" w:hAnsi="仿宋_GB2312" w:eastAsia="仿宋_GB2312"/>
          <w:b w:val="0"/>
          <w:color w:val="000000"/>
          <w:sz w:val="32"/>
        </w:rPr>
        <w:t>2. 商业化不及预期风险：现有适应症市场空间有限，销售额依赖新适应症拓展与基层渗透，若放量放缓将影响收入覆盖研发支出。</w:t>
      </w:r>
    </w:p>
    <w:p>
      <w:pPr>
        <w:spacing w:lineRule="exact" w:line="600" w:before="0" w:after="0"/>
        <w:ind w:firstLine="420"/>
        <w:jc w:val="both"/>
      </w:pPr>
      <w:r>
        <w:rPr>
          <w:rFonts w:ascii="仿宋_GB2312" w:hAnsi="仿宋_GB2312" w:eastAsia="仿宋_GB2312"/>
          <w:b w:val="0"/>
          <w:color w:val="000000"/>
          <w:sz w:val="32"/>
        </w:rPr>
        <w:t>3. 研发与审评风险：在研产品（含美国III期）存在临床失败、审评延迟或竞争格局变化风险，RC28等重磅管线兑现时点存在不确定性。</w:t>
      </w:r>
    </w:p>
    <w:p>
      <w:pPr>
        <w:spacing w:lineRule="exact" w:line="600" w:before="0" w:after="0"/>
        <w:ind w:firstLine="420"/>
        <w:jc w:val="both"/>
      </w:pPr>
      <w:r>
        <w:rPr>
          <w:rFonts w:ascii="仿宋_GB2312" w:hAnsi="仿宋_GB2312" w:eastAsia="仿宋_GB2312"/>
          <w:b w:val="0"/>
          <w:color w:val="000000"/>
          <w:sz w:val="32"/>
        </w:rPr>
        <w:t>4. 政策与价格风险：医保谈判降价、创新药支付政策变化可能影响产品定价与利润率；海外业务受地缘政治与监管差异影响。</w:t>
      </w:r>
    </w:p>
    <w:p>
      <w:pPr>
        <w:spacing w:lineRule="exact" w:line="600" w:before="0" w:after="0"/>
        <w:ind w:firstLine="420"/>
        <w:jc w:val="both"/>
      </w:pPr>
      <w:r>
        <w:rPr>
          <w:rFonts w:ascii="仿宋_GB2312" w:hAnsi="仿宋_GB2312" w:eastAsia="仿宋_GB2312"/>
          <w:b w:val="0"/>
          <w:color w:val="000000"/>
          <w:sz w:val="32"/>
        </w:rPr>
        <w:t>5. 股权与治理风险：股权相对分散，一致行动人合计控制约38%，大规模再融资可能稀释中小股东利益。公司应对措施包括聚焦核心管线、推进BD合作、提升销售费用效率、稳健资金管理。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供应链金融：公司采购环节涉及大量原辅料与设备，可通过应收账款保理、票据贴现盘活营运资金，缓解阶段性现金流压力。</w:t>
      </w:r>
    </w:p>
    <w:p>
      <w:pPr>
        <w:spacing w:lineRule="exact" w:line="600" w:before="0" w:after="0"/>
        <w:ind w:firstLine="420"/>
        <w:jc w:val="both"/>
      </w:pPr>
      <w:r>
        <w:rPr>
          <w:rFonts w:ascii="仿宋_GB2312" w:hAnsi="仿宋_GB2312" w:eastAsia="仿宋_GB2312"/>
          <w:b w:val="0"/>
          <w:color w:val="000000"/>
          <w:sz w:val="32"/>
        </w:rPr>
        <w:t>2. 融资租赁：生产基地设备与厂房投资规模大，适合以融资租赁方式优化资本结构、降低短期负债占比。</w:t>
      </w:r>
    </w:p>
    <w:p>
      <w:pPr>
        <w:spacing w:lineRule="exact" w:line="600" w:before="0" w:after="0"/>
        <w:ind w:firstLine="420"/>
        <w:jc w:val="both"/>
      </w:pPr>
      <w:r>
        <w:rPr>
          <w:rFonts w:ascii="仿宋_GB2312" w:hAnsi="仿宋_GB2312" w:eastAsia="仿宋_GB2312"/>
          <w:b w:val="0"/>
          <w:color w:val="000000"/>
          <w:sz w:val="32"/>
        </w:rPr>
        <w:t>3. 股权/夹层融资协同：作为山东本土龙头创新药企，可与山东投资在产业基金、定增配资、BD交易结构等方面协同，支持其在烟台黄渤海新区的产能与研发扩张。</w:t>
      </w:r>
    </w:p>
    <w:p>
      <w:pPr>
        <w:spacing w:lineRule="exact" w:line="600" w:before="0" w:after="0"/>
        <w:ind w:firstLine="420"/>
        <w:jc w:val="both"/>
      </w:pPr>
      <w:r>
        <w:rPr>
          <w:rFonts w:ascii="仿宋_GB2312" w:hAnsi="仿宋_GB2312" w:eastAsia="仿宋_GB2312"/>
          <w:b w:val="0"/>
          <w:color w:val="000000"/>
          <w:sz w:val="32"/>
        </w:rPr>
        <w:t>4. 小贷及过桥融资：针对定增等待期或里程碑回款前的资金缺口，可提供合规的短期流动性支持，但须严格评估研发与商业化回款风险，控制敞口。</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荣昌生物是山东省乃至全国创新药领域的标杆企业，拥有两款已商业化世界级创新药与丰富在研管线，2024年营收高增、亏损收窄，正处于由Biotech向Biopharma进阶、临近盈利拐点的关键阶段。其短板在于持续亏损与现金流压力、营收对少数适应症的依赖。</w:t>
      </w:r>
    </w:p>
    <w:p>
      <w:pPr>
        <w:spacing w:lineRule="exact" w:line="600" w:before="0" w:after="0"/>
        <w:ind w:firstLine="420"/>
        <w:jc w:val="both"/>
      </w:pPr>
      <w:r>
        <w:rPr>
          <w:rFonts w:ascii="仿宋_GB2312" w:hAnsi="仿宋_GB2312" w:eastAsia="仿宋_GB2312"/>
          <w:b w:val="0"/>
          <w:color w:val="000000"/>
          <w:sz w:val="32"/>
        </w:rPr>
        <w:t>发展展望：据公司规划与行业趋势，泰它西普、维迪西妥单抗将通过新适应症（MG、IgA肾病、干燥综合征、乳腺癌等）、基层下沉与国际化持续放量；RC28有望成为第三款上市新药。2025—2027年有望实现全面盈利。</w:t>
      </w:r>
    </w:p>
    <w:p>
      <w:pPr>
        <w:spacing w:lineRule="exact" w:line="600" w:before="0" w:after="0"/>
        <w:ind w:firstLine="420"/>
        <w:jc w:val="both"/>
      </w:pPr>
      <w:r>
        <w:rPr>
          <w:rFonts w:ascii="仿宋_GB2312" w:hAnsi="仿宋_GB2312" w:eastAsia="仿宋_GB2312"/>
          <w:b w:val="0"/>
          <w:color w:val="000000"/>
          <w:sz w:val="32"/>
        </w:rPr>
        <w:t>建议：一是资本市场协同方面，山东投资可关注其定增与产业基金合作机会；二是融资结构方面，建议以供应链金融+融资租赁组合降低对股权稀释的依赖；三是风险管控方面，应动态跟踪其现金流与在研管线进展，设置分期投放与回款挂钩机制；四是产业落地方面，支持其在烟台黄渤海新区打造生物医药产业链集群。</w:t>
      </w:r>
    </w:p>
    <w:p>
      <w:pPr>
        <w:spacing w:lineRule="exact" w:line="600" w:before="120" w:after="120"/>
        <w:ind w:firstLine="420"/>
        <w:jc w:val="left"/>
      </w:pPr>
      <w:r>
        <w:rPr>
          <w:rFonts w:ascii="楷体_GB2312" w:hAnsi="楷体_GB2312" w:eastAsia="楷体_GB2312"/>
          <w:b w:val="0"/>
          <w:color w:val="000000"/>
          <w:sz w:val="32"/>
        </w:rPr>
        <w:t>（附）数据来源说明</w:t>
      </w:r>
    </w:p>
    <w:p>
      <w:pPr>
        <w:spacing w:lineRule="exact" w:line="600" w:before="0" w:after="0"/>
        <w:ind w:firstLine="420"/>
        <w:jc w:val="both"/>
      </w:pPr>
      <w:r>
        <w:rPr>
          <w:rFonts w:ascii="仿宋_GB2312" w:hAnsi="仿宋_GB2312" w:eastAsia="仿宋_GB2312"/>
          <w:b w:val="0"/>
          <w:color w:val="000000"/>
          <w:sz w:val="32"/>
        </w:rPr>
        <w:t>本报告使用数据来源：荣昌生物2022—2024年年度报告（上交所/港交所）、公司官网（remegen.cn）投资者关系与产品管线披露、东方财富/同花顺财务指标、巨潮网公告、界面新闻/科创板日报/证券时报等媒体报道。前瞻性描述以公司披露及行业研究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