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烟台黄渤海新区微纳传感半导体特色产业集群</w:t>
      </w:r>
    </w:p>
    <w:p>
      <w:pPr>
        <w:spacing w:lineRule="exact" w:line="600" w:before="240" w:after="240"/>
        <w:ind w:firstLine="0"/>
        <w:jc w:val="center"/>
      </w:pPr>
      <w:r>
        <w:rPr>
          <w:rFonts w:ascii="方正小标宋简体" w:hAnsi="方正小标宋简体" w:eastAsia="方正小标宋简体"/>
          <w:b w:val="0"/>
          <w:color w:val="000000"/>
          <w:sz w:val="44"/>
        </w:rPr>
        <w:t>烟台显华科技集团股份有限公司企业分析报告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烟台日报/齐鲁晚报/大众日报/潍坊融媒等权威媒体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烟台显华科技集团股份有限公司成立于2003年6月19日，法定代表人丰佩川，统一社会信用代码913706007526952553，企业类型为股份有限公司（非上市、自然人投资或控股），注册资本12,574.48万元（实缴同额），注册地址位于中国（山东）自由贸易试验区烟台片区烟台开发区F-12小区甬江三支路6号，登记机关为烟台市市场监督管理局，经营状态为存续，企业规模中型（2024年工商年报参保520人），增值税一般纳税人。</w:t>
      </w:r>
    </w:p>
    <w:p>
      <w:pPr>
        <w:spacing w:lineRule="exact" w:line="600" w:before="0" w:after="0"/>
        <w:ind w:firstLine="420"/>
        <w:jc w:val="both"/>
      </w:pPr>
      <w:r>
        <w:rPr>
          <w:rFonts w:ascii="仿宋_GB2312" w:hAnsi="仿宋_GB2312" w:eastAsia="仿宋_GB2312"/>
          <w:b w:val="0"/>
          <w:color w:val="000000"/>
          <w:sz w:val="32"/>
        </w:rPr>
        <w:t>股权结构：控股股东、董事长丰佩川持股约73.82%（疑似实际控制人）；其他股东含烟台瑞懿投资合伙企业（5.60%）、山东毅达创业投资基金（4.42%）、烟台业达创业投资有限公司（国有背景，2.40%）、烟台瑞珏投资、烟台瑞显投资、厦门厦金创新等，国有与社会资本共同参与。属民营控股、国有参股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原名烟台显华化工科技有限公司，2021年10月更名集团并股改；设董事长（丰佩川）及经营管理层，下设北京、上海研发中心，烟台京师材料基因组工程研究院、烟台海森大数据公司等，构建“研发—生产—销售”一体化；对外投资与分支机构围绕光电材料产业链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2002年烟台丰鲁精细化工成立；2003年显华化工成立；2005年深圳办事处开拓混合液晶市场；2009年古现、潮水厂区；2012年进入OLED材料研发；2016年OLED商业化量产、建八角厂区；2018年设台湾大立显华；2019年设烟台京师材料基因组工程研究院；2020年获山东省显示材料工程研究中心、国家专精特新“小巨人”；2021年北京/上海研发中心启用、更名集团、大季家化工园区开工；通过持续的产业链整合成长为国内光电材料关键力量。</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唯一拥有液晶和OLED材料全产业链的研发、生产、销售企业，全球最大液晶中间体和单色混合液晶供应商。主营业务为显示用光电材料（液晶中间体、液晶单体、混合液晶、OLED中间体及终端材料）及配套精细化学品的研发、生产与销售，并向薄膜材料、半导体材料、环保材料、化学制药拓展。</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显示材料为主线：液晶中间体、单色/TFT混合液晶、OLED材料三大板块，并向汽车调光玻璃用染料液晶等新材料延伸。公开披露：每年单班生产TFT混合液晶100吨、单色混合液晶50吨；单色混合液晶占全球市场约40%、国内半壁江山；全球单色混晶市占率约50%，液晶中间体产能全球首位。</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TN/STN/VA型单色混合液晶、TFT负性液晶、液晶单体与中间体、OLED中间体及终端材料；应用于移动终端、电视、车载、工控、测温枪、航天军工显示等。自主研发TFT负性液晶2020年量产，成为营收主导产品之一。</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客户为国内外面板企业，公开披露已成为天马、惠科、华星等国内主流面板企业稳定供应商，产品供应韩国、日本及国内诸多显示面板厂商；测温枪等健康电子显示材料占全国用量一半以上。</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生产所需为精细化工原料（中间体前驱体等），价格受上游化工与原材料影响；公司布局中间体自产以增强供应链可控。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山东省平板显示材料工程技术研究中心、山东省“一企一技术”研发中心、显示材料工程研究中心等平台；研发设备原值1.5亿余元，博士8名、硕士40余名，研发人员近300人，研发投入占销售10%以上；累计申请发明专利195项（授权36项、PCT 4项）、省级科技成果鉴定6项；国家高新技术企业、山东省独角兽、瞪羚、专精特新“小巨人”。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以直销对接面板企业为主，北京/上海研发中心就近服务客户；新型显示材料产业化项目进入试生产，攻关高清晰液晶与OLED材料。</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披露：2021年销售额约4.5亿元、资产规模约6亿元、员工约800人；2022年营业收入3.89亿元、上缴税金1,494万元（齐鲁晚报企业家报道口径）；全球单色混晶市占率约50%、液晶中间体产能全球首位。注：上述为公开报道口径，非审计财务报表，年份口径差异已如实说明。</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烟台显华科技为非上市企业，近三年审计财务报表未公开披露；下表列示公开报道的可参照经营数据，单位：亿元，不作财务数据编造（2021年与2022年数据来源口径不同，已并列标注）。</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12,574.48万元（实缴同）</w:t>
            </w:r>
          </w:p>
        </w:tc>
      </w:tr>
      <w:tr>
        <w:tc>
          <w:tcPr>
            <w:tcW w:type="dxa" w:w="2551"/>
          </w:tcPr>
          <w:p>
            <w:pPr>
              <w:spacing w:lineRule="exact" w:line="600"/>
              <w:jc w:val="center"/>
            </w:pPr>
            <w:r/>
            <w:r>
              <w:rPr>
                <w:rFonts w:ascii="仿宋_GB2312" w:hAnsi="仿宋_GB2312" w:eastAsia="仿宋_GB2312"/>
                <w:b w:val="0"/>
                <w:color w:val="000000"/>
                <w:sz w:val="32"/>
              </w:rPr>
              <w:t>2021年销售额</w:t>
            </w:r>
          </w:p>
        </w:tc>
        <w:tc>
          <w:tcPr>
            <w:tcW w:type="dxa" w:w="6236"/>
          </w:tcPr>
          <w:p>
            <w:pPr>
              <w:spacing w:lineRule="exact" w:line="600"/>
              <w:jc w:val="center"/>
            </w:pPr>
            <w:r/>
            <w:r>
              <w:rPr>
                <w:rFonts w:ascii="仿宋_GB2312" w:hAnsi="仿宋_GB2312" w:eastAsia="仿宋_GB2312"/>
                <w:b w:val="0"/>
                <w:color w:val="000000"/>
                <w:sz w:val="32"/>
              </w:rPr>
              <w:t>约4.5亿元（官网）</w:t>
            </w:r>
          </w:p>
        </w:tc>
      </w:tr>
      <w:tr>
        <w:tc>
          <w:tcPr>
            <w:tcW w:type="dxa" w:w="2551"/>
          </w:tcPr>
          <w:p>
            <w:pPr>
              <w:spacing w:lineRule="exact" w:line="600"/>
              <w:jc w:val="center"/>
            </w:pPr>
            <w:r/>
            <w:r>
              <w:rPr>
                <w:rFonts w:ascii="仿宋_GB2312" w:hAnsi="仿宋_GB2312" w:eastAsia="仿宋_GB2312"/>
                <w:b w:val="0"/>
                <w:color w:val="000000"/>
                <w:sz w:val="32"/>
              </w:rPr>
              <w:t>2022年营收</w:t>
            </w:r>
          </w:p>
        </w:tc>
        <w:tc>
          <w:tcPr>
            <w:tcW w:type="dxa" w:w="6236"/>
          </w:tcPr>
          <w:p>
            <w:pPr>
              <w:spacing w:lineRule="exact" w:line="600"/>
              <w:jc w:val="center"/>
            </w:pPr>
            <w:r/>
            <w:r>
              <w:rPr>
                <w:rFonts w:ascii="仿宋_GB2312" w:hAnsi="仿宋_GB2312" w:eastAsia="仿宋_GB2312"/>
                <w:b w:val="0"/>
                <w:color w:val="000000"/>
                <w:sz w:val="32"/>
              </w:rPr>
              <w:t>3.89亿元（媒体）</w:t>
            </w:r>
          </w:p>
        </w:tc>
      </w:tr>
      <w:tr>
        <w:tc>
          <w:tcPr>
            <w:tcW w:type="dxa" w:w="2551"/>
          </w:tcPr>
          <w:p>
            <w:pPr>
              <w:spacing w:lineRule="exact" w:line="600"/>
              <w:jc w:val="center"/>
            </w:pPr>
            <w:r/>
            <w:r>
              <w:rPr>
                <w:rFonts w:ascii="仿宋_GB2312" w:hAnsi="仿宋_GB2312" w:eastAsia="仿宋_GB2312"/>
                <w:b w:val="0"/>
                <w:color w:val="000000"/>
                <w:sz w:val="32"/>
              </w:rPr>
              <w:t>资产规模</w:t>
            </w:r>
          </w:p>
        </w:tc>
        <w:tc>
          <w:tcPr>
            <w:tcW w:type="dxa" w:w="6236"/>
          </w:tcPr>
          <w:p>
            <w:pPr>
              <w:spacing w:lineRule="exact" w:line="600"/>
              <w:jc w:val="center"/>
            </w:pPr>
            <w:r/>
            <w:r>
              <w:rPr>
                <w:rFonts w:ascii="仿宋_GB2312" w:hAnsi="仿宋_GB2312" w:eastAsia="仿宋_GB2312"/>
                <w:b w:val="0"/>
                <w:color w:val="000000"/>
                <w:sz w:val="32"/>
              </w:rPr>
              <w:t>约6亿元（官网）</w:t>
            </w:r>
          </w:p>
        </w:tc>
      </w:tr>
      <w:tr>
        <w:tc>
          <w:tcPr>
            <w:tcW w:type="dxa" w:w="2551"/>
          </w:tcPr>
          <w:p>
            <w:pPr>
              <w:spacing w:lineRule="exact" w:line="600"/>
              <w:jc w:val="center"/>
            </w:pPr>
            <w:r/>
            <w:r>
              <w:rPr>
                <w:rFonts w:ascii="仿宋_GB2312" w:hAnsi="仿宋_GB2312" w:eastAsia="仿宋_GB2312"/>
                <w:b w:val="0"/>
                <w:color w:val="000000"/>
                <w:sz w:val="32"/>
              </w:rPr>
              <w:t>单色混晶全球市占率</w:t>
            </w:r>
          </w:p>
        </w:tc>
        <w:tc>
          <w:tcPr>
            <w:tcW w:type="dxa" w:w="6236"/>
          </w:tcPr>
          <w:p>
            <w:pPr>
              <w:spacing w:lineRule="exact" w:line="600"/>
              <w:jc w:val="center"/>
            </w:pPr>
            <w:r/>
            <w:r>
              <w:rPr>
                <w:rFonts w:ascii="仿宋_GB2312" w:hAnsi="仿宋_GB2312" w:eastAsia="仿宋_GB2312"/>
                <w:b w:val="0"/>
                <w:color w:val="000000"/>
                <w:sz w:val="32"/>
              </w:rPr>
              <w:t>约50%</w:t>
            </w:r>
          </w:p>
        </w:tc>
      </w:tr>
      <w:tr>
        <w:tc>
          <w:tcPr>
            <w:tcW w:type="dxa" w:w="2551"/>
          </w:tcPr>
          <w:p>
            <w:pPr>
              <w:spacing w:lineRule="exact" w:line="600"/>
              <w:jc w:val="center"/>
            </w:pPr>
            <w:r/>
            <w:r>
              <w:rPr>
                <w:rFonts w:ascii="仿宋_GB2312" w:hAnsi="仿宋_GB2312" w:eastAsia="仿宋_GB2312"/>
                <w:b w:val="0"/>
                <w:color w:val="000000"/>
                <w:sz w:val="32"/>
              </w:rPr>
              <w:t>液晶中间体产能</w:t>
            </w:r>
          </w:p>
        </w:tc>
        <w:tc>
          <w:tcPr>
            <w:tcW w:type="dxa" w:w="6236"/>
          </w:tcPr>
          <w:p>
            <w:pPr>
              <w:spacing w:lineRule="exact" w:line="600"/>
              <w:jc w:val="center"/>
            </w:pPr>
            <w:r/>
            <w:r>
              <w:rPr>
                <w:rFonts w:ascii="仿宋_GB2312" w:hAnsi="仿宋_GB2312" w:eastAsia="仿宋_GB2312"/>
                <w:b w:val="0"/>
                <w:color w:val="000000"/>
                <w:sz w:val="32"/>
              </w:rPr>
              <w:t>全球首位</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财务数据未公开披露。公司作为全球单色混晶龙头、TFT负性液晶量产企业，产品附加值较高；但液晶材料受技术进步与上游原料影响均价呈下降趋势，盈利取决于高端产品占比与规模。</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无公开资产数据。作为精细化工与材料企业，固定资产（厂房、产线）与无形资产（专利、研发平台）占比较高，资产规模约6亿元（官网口径）。</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无公开负债数据。国有（业达创投）与毅达、烟台财金（基金投资9,000万元）参股，融资信用较好；建议授信前核查有息负债。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无公开现金流数据。产线建设与研发需持续投入，关注经营性现金流转正节奏。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与八亿时空、万润股份、诚志永华等国内液晶企业相比，显华以“液晶+OLED全产业链、全球单色混晶约50%份额、中间体产能全球首位”形成差异化领先；在TFT与OLED高端材料国产化窗口期具备先发优势。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股份有限公司（非上市），设董事长（丰佩川）及经营管理层；国有（业达创投）与毅达、财金基金参股，治理相对规范。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法定代表人/董事长丰佩川（1993年参加工作，获烟台市优秀企业家等荣誉），主导全产业链布局；副总经理郝明（分管投融资与政府基金对接）。核心团队技术背景强。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建有北京、上海研发中心与材料基因组工程研究院，通过国家高新技术企业、专精特新“小巨人”认定，研发与质量体系较完备。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员工约520—800人（不同口径），研发人员近300人（博士8、硕士40余），研发投入占销售10%以上，人才密度支撑技术创新。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产业链壁垒：国内唯一液晶+OLED材料全产业链，从中间体到终端材料自主可控。二是市场地位：全球最大液晶中间体与单色混合液晶供应商，单色混晶全球约50%份额。三是客户与认证：天马、惠科、华星稳定供应商，进入主流面板供应链。四是研发平台：省级工程中心、北京/上海研发中心、195项发明专利申请。五是资本与政策：国有+毅达+财金基金（9,000万元）参股，山东省独角兽、小巨人背书。</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技术替代风险：OLED普及使部分液晶材料供需调整，液晶均价呈下降趋势；应对为加大OLED材料与高端TFT材料研发、拓展汽车调光玻璃染料液晶等新领域。二是客户集中风险：依赖主流面板企业，面板行业周期波动传导明显。三是原料与成本风险：精细化工原料价格与环保成本影响毛利。四是竞争风险：八亿时空、万润等国内企业及国际巨头竞争，须以全产业链与成本维持优势。五是环保与安全生产风险：精细化工生产须持续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面板客户的应收账款可开展保理。供应链金融：围绕核心企业为上游中间体供应商提供订单/存货融资。融资租赁：新型显示材料产业化项目设备投资大，适合直租/回租。小贷：面向临时周转。鉴于企业为山东省独角兽、全球单色混晶龙头、国有与头部基金参股，资质优良，建议以"设备融资租赁+应收保理"组合切入，关注其IPO/资本化进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显华科技是黄渤海新区微纳半导体集群中光电显示材料的全产业链龙头，全球单色混晶约50%份额、中间体产能全球首位，技术、客户与资本背书突出，但财务透明度有限、受OLED替代与面板周期影响。发展展望：据行业趋势与公司规划，新型显示材料国产化、汽车调光玻璃及OLED材料需求增长，公司新型显示材料产业化项目试产后成长空间明确。建议：一是对接产业化项目设备融资租赁与应收保理；二是要求补充规范财务资料；三是关注OLED替代节奏、面板周期与环保合规。</w:t>
      </w:r>
    </w:p>
    <w:p>
      <w:pPr>
        <w:spacing w:lineRule="exact" w:line="600" w:before="0" w:after="0"/>
        <w:jc w:val="left"/>
      </w:pPr>
      <w:r>
        <w:rPr>
          <w:rFonts w:ascii="仿宋_GB2312" w:hAnsi="仿宋_GB2312" w:eastAsia="仿宋_GB2312"/>
          <w:b w:val="0"/>
          <w:color w:val="000000"/>
          <w:sz w:val="28"/>
        </w:rPr>
        <w:t>数据来源说明：天眼查/爱企查/企查查（工商、股权、资质）、公司官网 yantaixianhuakeji.com（发展历程与产能）、齐鲁晚报/齐鲁壹点（丰佩川企业家报道、2022营收）、36氪/水母网（液晶市场份额与TFT量产）、烟台财金集团报道（客户与基金投资）。财务数据未公开披露，已如实标注并采用公开报道口径。</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