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禹城市功能食品特色产业集群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山东百龙创园生物科技股份有限公司企业分析报告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百龙创园生物科技股份有限公司（股票代码：605016.SH）为A股上市公司，注册地山东省德州市禹城市，主营益生元系列、膳食纤维系列、健康甜味剂系列及其他淀粉糖（醇）的研发、生产与销售。法定代表人为樵洪建。公司为禹城市功能食品代表企业、国家级制造业单项冠军，属“禹城市功能食品特色产业集群”核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公司下设膳食纤维、益生元、健康甜味剂等业务单元，设研发中心与国内外销售体系，集团对产销与研发集中管理。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公司由淀粉糖（醇）起步，逐步聚焦高附加值膳食纤维与益生元，2024年5月“年产3万吨可溶性膳食纤维项目”“年产1.5万吨结晶糖项目”投产，并推进泰国大健康新食品原料智慧工厂项目。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定位为全球功能膳食纤维与益生元供应商，主营膳食纤维系列、益生元系列、健康甜味剂系列。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2024年营收11.52亿元，其中膳食纤维系列6.24亿元（54.15%）、益生元系列3.22亿元（28%）、健康甜味剂1.56亿元（13.57%）。境外收入占比约66.96%，为主要市场。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膳食纤维（抗性糊精、聚葡萄糖等）、益生元（低聚果糖、低聚半乳糖等）、健康甜味剂（阿洛酮糖等）。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客户以境外食品、保健品企业为主（境外占比约67%），境内外客户需求持续增长，客户结构优质。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主要采购淀粉糖（醇）等农产品加工原料，供应链管理稳定。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2024年5月新增3万吨膳食纤维、1.5万吨结晶糖产能；在建“功能糖干燥扩产与综合提升项目”及泰国工厂，产能持续释放。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以境外直销为主，境内外渠道并重，泰国工厂将增强国际交付能力。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2024年膳食纤维收入同比+40.42%、益生元+25.43%、健康甜味剂+13.85%，量价齐升，境外市场份额稳固。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8.68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11.52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13.79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1.93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2.46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3.69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（约33%）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33.65%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（约34%）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（约14%）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16.60%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（约17%）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注：2024年营收同比+32.64%、归母净利润+27.26%；2025年营收13.79亿元、归母净利润3.69亿元。数据来源公司年报。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2024年毛利率33.65%、净利率21.33%，盈利能力在同业中居前；膳食纤维毛利率41.6%、益生元27.97%、健康甜味剂19.04%。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2024年末总资产20.14亿元，存货与应收管理良好，资产质量优。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2024年末资产负债率16.60%，有息负债率仅3.65%，速动比率2.36、流动比率2.98，偿债能力极强。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2024年经营现金流净额3.01亿元（同比+54.59%），销售现金比率26.13%，现金流充沛。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三年营收复合增速20.8%（行业排名第3）、净利润复合增速32.96%（行业第2），盈利质量与成长性均优于同业。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A股上市公司，治理规范；2024年度分配预案为10转3派1.4元。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法定代表人樵洪建；2024年末员工988人（同比+33.15%），人均创利24.86万元。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集团化产销与研发管理，建立覆盖采购、生产、销售的内控体系。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研发与技术人员支撑产能释放与新产品开发，人员随产能扩张增长。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壁垒：膳食纤维/益生元高毛利、技术壁垒强；二是客户壁垒：境外优质客户占比高、粘性强；三是成本优势：领先毛利率体现工艺与规模优势；四是产能弹性：新项目投产支撑高增长；五是财务优势：低负债、强现金流支撑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出口风险：境外收入占比高，受贸易政策与汇率影响；二是产能消化风险：新产能需对应订单放量；三是原料风险：农产品原料价格联动；四是竞争风险：功能配料同质化。公司通过客户多元化、泰国工厂就近交付与研发差异化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极强、负债率低，资金需求以扩产资本开支为主，可探讨：一是产业基金/可转债：支持泰国工厂与国内扩产；二是供应链金融：围绕原料采购提供应收账款融资；三是跨境金融：结合出口业务的外汇与保理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百龙创园是功能膳食纤维与益生元高盈利成长标的，2024、2025年持续高增，财务极优。建议：一是加快泰国工厂落地以贴近海外客户；二是保持研发领先与高毛利产品结构；三是借助山东投资产业基金优化扩产节奏。综合看，公司成长性与盈利质量在集群中突出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数据来源说明：百龙创园2024年、2025年年度报告（巨潮网）、东方财富/同花顺财务数据、证券时报/中国证券报/财中社等公开报道。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