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禹城市功能食品特色产业集群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山东福田药业有限公司企业分析报告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福田药业有限公司成立于1999年7月16日，注册资本29104.119097万元（约2.91亿元），注册地位于山东省德州（禹城）国家高新技术产业开发区南环路666号，法定代表人为于军平，企业类型为其他有限责任公司。股东包括青岛蓝色福田投资合伙企业（有限合伙，持股约38.39%）等，疑似实控人谭瑞清。公司为高新技术企业、省级制造业单项冠军、绿色工厂，属“禹城市功能食品特色产业集群”重要成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公司设研发、生产、质量、销售等职能体系，建有国家认定企业技术中心、国家认可实验室、博士后科研工作站等平台，集团成员企业22家。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公司始建于1991年、1993年投产，1999年完成法人主体注册，历经三十年发展成为中国功能糖城支柱企业，承担国家863计划、“十一五”“十二五”科技支撑计划等近30项国家科研课题。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定位为全球主流功能糖醇产品综合供应商，主营木糖、木糖醇、麦芽糖醇、L-阿拉伯糖、赤藓糖醇及其衍生产品，产品达英国药典BP、美国FCC及USP标准。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收入以功能糖醇产品为主，核心为木糖醇、麦芽糖醇、L-阿拉伯糖、赤藓糖醇等；财务数据未公开披露，具体构成比例不详。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木糖醇、麦芽糖醇、L-阿拉伯糖、赤藓糖醇、D-木糖及复配糖等多元糖醇产品，“福甜”牌多元糖醇为中国驰名商标。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与箭牌、吉百利、雀巢、玛氏等国际食品巨头及伊利、同仁堂、娃哈哈、哈药等建立长期合作，产品畅销50多个国家和地区。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以玉米、玉米芯等农产品原料为主，供应链立足禹城及周边。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拥有功能糖醇综合产能与多项认证（ISO9001/14001/45001、FSSC22000、KOSHER、HALAL、IP），具国家认定企业技术中心与博士后工作站。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内外销结合，以直供国际食品巨头与出口贸易为主。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财务数据未公开披露；公司员工约428人（2025年），在功能糖醇出口领域具重要地位。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财务数据未公开披露。福田药业为非上市企业，未公开披露近三年经审计合并财报，以下不作具体数字列示。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作为功能糖醇综合供应商，盈利受糖醇价格与原料玉米成本影响，高附加值产品（L-阿拉伯糖等）贡献毛利。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资产以生产装置、技术中心与土地厂房为主，研发平台资产价值突出。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财务数据未公开披露，融资渠道以银行信贷为主。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经营现金流与糖醇销售回款及原料占款相关。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因数据未公开，难以量化对标；可比对象为保龄宝、百龙创园等同城功能糖企业。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公司为其他有限责任公司，设股东会、董事会、经理层，重大事项按公司治理程序决策。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法定代表人于军平；实控人背景为谭瑞清，管理层具糖醇产业长期经验。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以质量与认证体系（ISO/FSSC/KOSHER/HALAL）为核心内控，研发与销售分离管理。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员工约428人，拥有152人技术精英团队与多个科研平台，研发实力强。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认证壁垒：国家企业技术中心+多项国际认证，产品达BP/USP标准；二是客户壁垒：与全球食品巨头长期绑定；三是品牌壁垒：“福甜”中国驰名商标；四是平台壁垒：博士后工作站与近190项专利积累；五是区位壁垒：禹城“中国功能糖城”集群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一是价格风险：糖醇价格波动影响盈利；二是原料风险：玉米成本联动；三是贸易风险：出口占比高受关税政策影响；四是研发风险：新品迭代需持续投入。公司通过认证壁垒、客户粘性与研发平台应对。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围绕农产品原料采购与糖醇销售，提供应收账款融资与存货质押；二是融资租赁：技术中心与产线升级设备直租/回租；三是小贷：为上下游供应商短期周转；四是产业基金：支持高附加值糖醇新品产业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田药业是禹城功能糖醇老牌龙头，技术与客户壁垒突出，但财务未公开、资本化程度低于同业上市公司。建议：一是推动规范化与资本运作（如股改上市）；二是放大L-阿拉伯糖等高附加值产品；三是借助山东投资类金融与产业基金资源加速升级。综合看，公司技术底蕴深厚，资本化与市场化提升空间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数据来源说明：天眼查/企查查工商登记、企业官网（sdftyy.com）、启信宝公开信息、360百科等。财务数据未公开披露，已如实标注。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