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聊城市东昌府区先进金属材料特色产业集群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山东诚义德金属材料有限公司企业分析报告</w:t>
      </w:r>
    </w:p>
    <w:p>
      <w:pPr>
        <w:spacing w:lineRule="exact" w:line="600" w:before="0" w:after="0"/>
        <w:jc w:val="left"/>
      </w:pPr>
      <w:r>
        <w:rPr>
          <w:rFonts w:ascii="仿宋_GB2312" w:hAnsi="仿宋_GB2312" w:eastAsia="仿宋_GB2312"/>
          <w:b w:val="0"/>
          <w:color w:val="000000"/>
          <w:sz w:val="28"/>
        </w:rPr>
        <w:t>（本报告数据来源于公司年报/工商登记信息、天眼查/爱企查/企查查/启信宝等工商信息平台、企业官网、地方政府门户网站及权威媒体（齐鲁网·闪电新闻、德州日报、大众日报/齐鲁壹点、聊城市政府门户网站、冠县政府门户网站等）公开渠道，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诚义德金属材料有限公司成立于2021年6月25日，法定代表人王文波，统一社会信用代码91371502MA94CT4G8M，企业类型为有限责任公司（自然人独资），注册资本300万元人民币，注册地址位于山东省聊城市东昌府区凤凰工业园新南环路百亿物流园内b22号1-2层，登记机关为聊城市东昌府区市场监督管理局，经营状态为存续（开业），营业期限自2021年6月25日至无固定期限。公司所属行业为批发业（金属及金属矿批发/有色金属冶炼和压延加工业），为增值税一般纳税人，属小微企业。</w:t>
      </w:r>
    </w:p>
    <w:p>
      <w:pPr>
        <w:spacing w:lineRule="exact" w:line="600" w:before="0" w:after="0"/>
        <w:ind w:firstLine="420"/>
        <w:jc w:val="both"/>
      </w:pPr>
      <w:r>
        <w:rPr>
          <w:rFonts w:ascii="仿宋_GB2312" w:hAnsi="仿宋_GB2312" w:eastAsia="仿宋_GB2312"/>
          <w:b w:val="0"/>
          <w:color w:val="000000"/>
          <w:sz w:val="32"/>
        </w:rPr>
        <w:t>股权结构：公司为自然人独资企业，股东（实际控制人）为王文波，持股100%，无国有出资人，属民营控股小微企业。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公司为单体民营金属材料企业，下设经营与加工单元，经营范围涵盖金属材料销售、有色金属压延加工；主要人员为执行董事兼总经理王文波、监事薛晶文，组织层级极为精简，未披露下设子公司或分支机构。</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2021年6月注册成立于聊城东昌府区凤凰工业园（百亿物流园内），依托聊城金属深加工产业基础与园区物流配套，从事金属材料销售与有色金属压延加工业务，属先进金属材料集群内的下游应用与配套企业；成立后处于成长期，公开信息显示存在2次行政处罚记录，经营规范度有待提升。</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金属材料销售与有色金属压延加工的小微企业，聊城市东昌府区先进金属材料特色产业集群配套成员。主营业务为金属材料销售、有色金属压延加工，产品服务于建筑、机械、制造等下游领域的金属材料需求。</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业务以金属材料销售为主，并从事有色金属压延加工，收入结构以贸易销售为核心、加工为辅；公司未公开披露分产品收入占比。作为小微企业，业务规模有限。</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主导业务为各类金属材料（钢材、铝材、铜材等）销售，以及有色金属压延加工服务，可满足下游建筑、机械、制造企业的金属材料采购与基础加工需求。</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下游客户以聊城及周边的建筑、机械、制造企业为主，客户地域集中、以中小微企业为主；具体客户名单未公开披露。</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采购对象为上游金属材料生产商/贸易商，原料价格随钢材、有色金属行情波动；地处凤凰工业园百亿物流园，物流与集采具备一定便利。</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公司为非上市小微企业，未公开披露具体产能、产线及专利资质信息；为增值税一般纳税人，从事金属材料销售与有色金属压延加工，注册于凤凰工业园百亿物流园内，具备基础经营场所与物流条件。</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以直销对接周边下游客户为主，依托园区物流与区域金属材料产业集聚开展业务，渠道相对本地化。</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公司为非上市小微企业，财务数据未公开披露，无公开营收、利润及市占率数据。工商参保人数0人（2024年年报口径），结合注册资本300万元，属典型小微配套企业，区域市场影响力有限。</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山东诚义德金属为非上市小微企业，近三年财务报表未公开披露，以下仅列公开工商信息，不作财务数据编造。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300万元</w:t>
            </w:r>
          </w:p>
        </w:tc>
      </w:tr>
      <w:tr>
        <w:tc>
          <w:tcPr>
            <w:tcW w:type="dxa" w:w="2551"/>
          </w:tcPr>
          <w:p>
            <w:pPr>
              <w:spacing w:lineRule="exact" w:line="600"/>
              <w:jc w:val="center"/>
            </w:pPr>
            <w:r/>
            <w:r>
              <w:rPr>
                <w:rFonts w:ascii="仿宋_GB2312" w:hAnsi="仿宋_GB2312" w:eastAsia="仿宋_GB2312"/>
                <w:b w:val="0"/>
                <w:color w:val="000000"/>
                <w:sz w:val="32"/>
              </w:rPr>
              <w:t>成立时间</w:t>
            </w:r>
          </w:p>
        </w:tc>
        <w:tc>
          <w:tcPr>
            <w:tcW w:type="dxa" w:w="6236"/>
          </w:tcPr>
          <w:p>
            <w:pPr>
              <w:spacing w:lineRule="exact" w:line="600"/>
              <w:jc w:val="center"/>
            </w:pPr>
            <w:r/>
            <w:r>
              <w:rPr>
                <w:rFonts w:ascii="仿宋_GB2312" w:hAnsi="仿宋_GB2312" w:eastAsia="仿宋_GB2312"/>
                <w:b w:val="0"/>
                <w:color w:val="000000"/>
                <w:sz w:val="32"/>
              </w:rPr>
              <w:t>2021-06-25</w:t>
            </w:r>
          </w:p>
        </w:tc>
      </w:tr>
      <w:tr>
        <w:tc>
          <w:tcPr>
            <w:tcW w:type="dxa" w:w="2551"/>
          </w:tcPr>
          <w:p>
            <w:pPr>
              <w:spacing w:lineRule="exact" w:line="600"/>
              <w:jc w:val="center"/>
            </w:pPr>
            <w:r/>
            <w:r>
              <w:rPr>
                <w:rFonts w:ascii="仿宋_GB2312" w:hAnsi="仿宋_GB2312" w:eastAsia="仿宋_GB2312"/>
                <w:b w:val="0"/>
                <w:color w:val="000000"/>
                <w:sz w:val="32"/>
              </w:rPr>
              <w:t>企业类型</w:t>
            </w:r>
          </w:p>
        </w:tc>
        <w:tc>
          <w:tcPr>
            <w:tcW w:type="dxa" w:w="6236"/>
          </w:tcPr>
          <w:p>
            <w:pPr>
              <w:spacing w:lineRule="exact" w:line="600"/>
              <w:jc w:val="center"/>
            </w:pPr>
            <w:r/>
            <w:r>
              <w:rPr>
                <w:rFonts w:ascii="仿宋_GB2312" w:hAnsi="仿宋_GB2312" w:eastAsia="仿宋_GB2312"/>
                <w:b w:val="0"/>
                <w:color w:val="000000"/>
                <w:sz w:val="32"/>
              </w:rPr>
              <w:t>有限责任公司（自然人独资）</w:t>
            </w:r>
          </w:p>
        </w:tc>
      </w:tr>
      <w:tr>
        <w:tc>
          <w:tcPr>
            <w:tcW w:type="dxa" w:w="2551"/>
          </w:tcPr>
          <w:p>
            <w:pPr>
              <w:spacing w:lineRule="exact" w:line="600"/>
              <w:jc w:val="center"/>
            </w:pPr>
            <w:r/>
            <w:r>
              <w:rPr>
                <w:rFonts w:ascii="仿宋_GB2312" w:hAnsi="仿宋_GB2312" w:eastAsia="仿宋_GB2312"/>
                <w:b w:val="0"/>
                <w:color w:val="000000"/>
                <w:sz w:val="32"/>
              </w:rPr>
              <w:t>注册地</w:t>
            </w:r>
          </w:p>
        </w:tc>
        <w:tc>
          <w:tcPr>
            <w:tcW w:type="dxa" w:w="6236"/>
          </w:tcPr>
          <w:p>
            <w:pPr>
              <w:spacing w:lineRule="exact" w:line="600"/>
              <w:jc w:val="center"/>
            </w:pPr>
            <w:r/>
            <w:r>
              <w:rPr>
                <w:rFonts w:ascii="仿宋_GB2312" w:hAnsi="仿宋_GB2312" w:eastAsia="仿宋_GB2312"/>
                <w:b w:val="0"/>
                <w:color w:val="000000"/>
                <w:sz w:val="32"/>
              </w:rPr>
              <w:t>东昌府区凤凰工业园百亿物流园</w:t>
            </w:r>
          </w:p>
        </w:tc>
      </w:tr>
      <w:tr>
        <w:tc>
          <w:tcPr>
            <w:tcW w:type="dxa" w:w="2551"/>
          </w:tcPr>
          <w:p>
            <w:pPr>
              <w:spacing w:lineRule="exact" w:line="600"/>
              <w:jc w:val="center"/>
            </w:pPr>
            <w:r/>
            <w:r>
              <w:rPr>
                <w:rFonts w:ascii="仿宋_GB2312" w:hAnsi="仿宋_GB2312" w:eastAsia="仿宋_GB2312"/>
                <w:b w:val="0"/>
                <w:color w:val="000000"/>
                <w:sz w:val="32"/>
              </w:rPr>
              <w:t>主营</w:t>
            </w:r>
          </w:p>
        </w:tc>
        <w:tc>
          <w:tcPr>
            <w:tcW w:type="dxa" w:w="6236"/>
          </w:tcPr>
          <w:p>
            <w:pPr>
              <w:spacing w:lineRule="exact" w:line="600"/>
              <w:jc w:val="center"/>
            </w:pPr>
            <w:r/>
            <w:r>
              <w:rPr>
                <w:rFonts w:ascii="仿宋_GB2312" w:hAnsi="仿宋_GB2312" w:eastAsia="仿宋_GB2312"/>
                <w:b w:val="0"/>
                <w:color w:val="000000"/>
                <w:sz w:val="32"/>
              </w:rPr>
              <w:t>金属材料销售、有色金属压延加工</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财务数据未公开披露。金属材料销售毛利率受行情波动影响，小微企业盈利空间有限。</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无公开资产数据。小微企业资产以存货与应收为主，需关注账期与存货周转。</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无公开负债数据。建议授信前核查企业征信、实控人连带及对外担保情况。</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无公开现金流数据。贸易业务回款周期需关注。</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与同集群的丰绅金属、百利成等相比，诚义德规模最小（注册资本300万、参保0人），属典型小微配套，抗风险与融资能力最弱。</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公司为自然人独资的有限责任公司，治理结构极简，由王文波任执行董事兼总经理，薛晶文任监事，未建立董事会。</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法定代表人、执行董事兼总经理王文波；监事薛晶文。管理以创始人主导。</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作为小微企业，内控体系基础，需关注经营合规；公开信息显示存在2次行政处罚，提示需强化合规管理。</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工商参保约0人（2024年年报口径），人员规模极小，以经营与基础加工为主。</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区位与物流：位于凤凰工业园百亿物流园，金属材料集散与物流便利。二是灵活经营：小微企业决策链条短，可快速响应周边客户零散需求。三是集群协同：处于聊城先进金属材料集群，上下游配套与渠道可得。整体看，企业壁垒较低，以本地化服务见长。</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规模与抗风险能力极弱：注册资本300万、参保0人，抗周期能力有限。二是合规风险：公开信息显示存在2次行政处罚，需强化经营与环保/安全合规。三是客户与回款风险：下游以中小微为主，账期与坏账风险较高。四是原料价格风险：金属行情波动影响毛利。五是透明度风险：非上市、财务未公开，授信需加强尽调。</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下游应收账款可开展保理。供应链金融：围绕金属材料采购做存货质押（园区仓储）、订单融资。融资租赁：加工设备升级适合直租/回租。小贷：面向临时周转。鉴于企业规模极小，建议以"小额、强担保、短周期"为原则，谨慎介入并绑定实控人连带。</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诚义德金属是聊城东昌府区先进金属材料集群中规模最小的小微配套企业，区位与物流便利、经营灵活，但资本实力弱、合规记录有瑕疵、财务不透明。发展展望：据行业趋势，区域金属材料需求稳健，公司可依托园区与集群稳定发展，但成长性有限。建议：一是以小额强担保谨慎介入；二是先核实并整改行政处罚事项、补充财务与征信资料；三是关注金属价格与回款风险，设置动态监测；四是优先以存货质押类业务控制风险。</w:t>
      </w:r>
    </w:p>
    <w:p>
      <w:pPr>
        <w:spacing w:lineRule="exact" w:line="600" w:before="0" w:after="0"/>
        <w:jc w:val="left"/>
      </w:pPr>
      <w:r>
        <w:rPr>
          <w:rFonts w:ascii="仿宋_GB2312" w:hAnsi="仿宋_GB2312" w:eastAsia="仿宋_GB2312"/>
          <w:b w:val="0"/>
          <w:color w:val="000000"/>
          <w:sz w:val="28"/>
        </w:rPr>
        <w:t>数据来源说明：天眼查/爱企查/企查查（工商、股权、资质、行政处罚、社保人数）、聊城市金属深加工产业规划（集群背景）。财务数据未公开披露，已如实标注。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