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聊城市茌平区绿色功能铝特色产业集群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山东骏程金属科技有限公司企业分析报告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骏程金属科技有限公司成立于2017年1月24日，注册资本1亿元，注册地山东省聊城市茌平区，法定代表人为孙谱。公司主营锻造铝合金车轮，产能约200万件/年，客户涵盖戴姆勒、中国重汽、上汽大通等，属“聊城市茌平区绿色功能铝特色产业集群”深加工配套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公司围绕铝合金车轮锻造、机加工、涂装组织生产，设研发与销售体系。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公司2017年设立，依托茌平铝产业基础发展锻造铝合金车轮，进入主流商用车与重卡配套体系。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定位为锻造铝合金车轮制造商，主营商用车/重卡锻造铝合金车轮。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收入以锻造铝合金车轮为主；财务数据未公开披露，具体构成比例不详。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锻造铝合金车轮（商用车、重卡、客车等），轻量化优势明显。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客户包括戴姆勒、中国重汽、上汽大通等主流整车厂，客户层级高、粘性较强。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原料铝锭/铝坯来自区域铝企，采购稳定。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锻造铝合金车轮产能约200万件/年，具备汽车配套质量体系认证。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以整车厂配套直供为主，兼顾售后与出口。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财务数据未公开披露；公司已进入主流重卡配套，细分市场份额稳定。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因财务数据未公开，盈利、资产、负债、现金流及对标分析从略；盈利与车轮销量及铝价相关。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有限责任公司，设法定代表人及经理层，按公司治理程序决策。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法定代表人孙谱，管理层具汽车零部件制造经验。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以汽车质量体系（IATF等）、安全与交付内控为核心。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拥有锻造、机加工与质量技术队伍，规模未公开。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一是客户壁垒：进入戴姆勒等高端配套体系；二是技术壁垒：锻造铝合金车轮工艺门槛高；三是轻量化趋势：契合商用车减重与节能；四是区位协同：茌平铝原料就近。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一是车市风险：商用车周期波动影响订单；二是客户集中风险：依赖少数整车厂；三是原料风险：铝价波动；四是技术风险：工艺与认证迭代。公司通过客户拓展与降本应对。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可探讨：一是供应链金融：围绕车轮销售与原料采购，提供应收账款融资与存货质押；二是融资租赁：锻造与机加工设备直租/回租；三是保理：对整车厂应收账款开展保理；四是小贷：配套供应商周转。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骏程金属是茌平铝集群中高附加值的车轮深加工企业，客户层级高、技术壁垒明显。建议：一是拓展乘用车与出口客户以分散风险；二是借助山东投资类金融资源优化资金；三是持续轻量化新品研发。综合看，公司具差异化竞争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数据来源说明：天眼查/企查查工商登记、茌平区工信局资料、公开报道。财务数据未公开披露，已如实标注。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