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聊城经济技术开发区高精管材智造特色产业集群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鑫鹏源（聊城）智能科技有限公司企业分析报告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国家企业信用信息公示系统、天眼查/爱企查/企查查/启信宝、公司官网及权威媒体（滨州日报、大众日报、聊城日报、中国铸造协会、地方党报及政府官网）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名称说明：公开渠道可查得“鑫鹏源（聊城）智能科技有限公司”及“聊城市开发区鑫鹏源精密钢管制造厂”（个体工商户，成立于2010年，已注销）两种形态，本报告以产业集群登记名称“鑫鹏源（聊城）智能科技有限公司”为标题，基于其公开经营信息撰写，未能获取该有限公司形态的精确工商登记数据，已在财务章节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鑫鹏源（聊城）智能科技有限公司（公开名称“鑫鹏源（聊城）智能科技有限公司”）位于山东省聊城市经济开发区，北临济邯高速公路、西临京九铁路，地理位置优越、交通便利。公开经营信息显示其为精密无缝钢管专业制造企业，集穿孔、热轧、冷拔、销售于一体。由于未能获取该有限公司形态的精确工商登记（注册资本、法定代表人、统一社会信用代码、成立日期等）数据，相关工商要素以公开经营描述为准，并提示：同名的“聊城市开发区鑫鹏源精密钢管制造厂”为个体工商户（2010年12月9日成立、法定代表人王广涛、注册资本10万元），现已注销，与本公司“有限公司”主体应区分对待。</w:t>
      </w:r>
    </w:p>
    <w:p>
      <w:pPr>
        <w:spacing w:lineRule="exact" w:line="600" w:before="0" w:after="0"/>
        <w:ind w:firstLine="420"/>
        <w:jc w:val="both"/>
      </w:pPr>
      <w:r>
        <w:rPr>
          <w:rFonts w:ascii="宋体" w:hAnsi="宋体"/>
          <w:sz w:val="22"/>
        </w:rPr>
        <w:t>股权与实控人：山东鑫鹏智能装备集团有限公司持股99.53125%（认缴127,400万元），为控股股东；高海潮持股0.46875%（认缴600万元，参股6家企业）。公司属民营控股制造企业，无国有出资人记录。数据来源：企查查/工商公示（2021-05-20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公司设生产、销售及天津精密钢管销售处等业务单元；采用“穿孔—热轧—冷拔—销售”一体化经营，在天津设有精密钢管销售处，拓展华北市场。组织层级较为扁平，以生产与销售为核心。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依托聊城地区全国知名的无缝钢管生产基地与集散地（大东钢管市场）起步，长期深耕精密光亮钢管与无缝钢管深加工，逐步建成穿孔、热轧、冷拔完整生产线，形成规模化生产能力，并成为聊城高精管材智造集群的精密钢管代表企业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精密光亮钢管与无缝钢管专业制造商。主营业务为精密光亮钢管、结构管、流体管、厚壁管、中低压锅炉管、高压锅炉管、化肥专用管、石油裂化管、船舶管、电力用管及进口高压合金管的研发、生产与销售，并为客户订做非标精密管；另经营包钢、天钢、鲁宝、成钢、冶钢等品牌无缝钢管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精密无缝钢管制造为核心，产品覆盖精密光亮管、结构管、流体管、锅炉管、石油裂化管、船舶管、电力用管及高压合金管，并兼营多家钢厂无缝钢管贸易；同时按客户需求订做非标精密管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精密光亮无缝钢管（φ18—φ121×2—25mm，冷轧口径）、常规无缝钢管（φ38—351mm×3.5—60mm，热轧/冷拔口径）；材质涵盖优质碳素钢、低合金钢、轴承钢等。代表性专用产品：气弹簧专用冷轧精密钢管、汽车减震器用冷轧精密钢管、摩托车减震器用冷轧精密钢管、电机外壳专用精密钢管、液压和气动缸筒用精密内径无缝钢管。冷轧精密管公差精度±0.05mm，内外表面无氧化层、光洁度好，可承受高压、冷弯、扩口、压扁不开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汽车（减震器、半轴）、摩托车、电机、液压气动、机械装备及锅炉、石油、化工、船舶、电力等行业；产品畅销全国近三十个省市、自治区，并出口海外（公开信息显示远销多国）。客户以工业品批发与制造客户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生产所需管坯、优质碳素钢/低合金钢原料及能源为主要采购对象，原料价格随钢铁行情波动；兼营贸易业务使其对钢材集散市场价格敏感。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与装备：占地面积约200亩，拥有职工300多人（其中高级工程师20人、专业技师40人、聘请专家10人）；热轧机组2台、冷拔机组6台、穿孔机组2台，常年生产φ38—351mm×3.5—60mm无缝钢管；另拥有23条现代化精密冷轧管机生产线（制造厂口径），年产冷轧精密无缝钢管约10万吨。产品执行GB/T8163、GB5310、GB3087及API、ISO9001等标准（行业描述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采用“自产自销+天津销售处+出口”模式，在国内重点区域设销售网络，并经营多家钢厂无缝钢管贸易，渠道覆盖全国近三十个省市及海外。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且未能获取精确工商与财务数据，无公开营收、利润及市占率数据。从产能（占地200亩、热轧2/冷拔6/穿孔2机组、冷轧精密管年产约10万吨）与人员规模（300余人）看，其在聊城精密钢管细分领域具备一定区域地位，但规模属中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鑫鹏源（聊城）智能科技有限公司为非上市民营企业，且未能获取其有限公司形态的精确工商与近三年财务数据，以下仅列公开经营信息，不作任何财务数据编造。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占地面积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约200亩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职工人数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约300多人（高工20、技师40、专家10）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热轧2台、冷拔6台、穿孔2台；冷轧管机23条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无缝钢管φ38-351mm；冷轧精密管约10万吨/年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营收/利润/注册资本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未公开披露（工商数据缺失）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财务数据未公开披露。精密冷轧管较普通热轧管附加值更高，汽车减震器、液压缸筒等专用精密管具备一定溢价；但受原料与加工费竞争影响，盈利弹性较大。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无公开资产数据。重资产制造属性，固定资产（机组、厂房）与存货占比较高。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无公开负债数据。建议授信前核查征信、实控人连带及对外担保。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无公开现金流数据。原料采购与存货、应收占用较大，需关注经营性现金流。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与聊城高精管材集群内汇通、海鑫达、金宝诚等相比，鑫鹏源以“精密冷轧管+多规格无缝管”定位，规模与资质（公开未明确API等国际认证）相对有限，但在汽车、液压等精密管细分具备差异化空间。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民营制造企业，治理以创始人/实控人主导，设生产与销售管理单元；公开未披露董事会与详细治理架构。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公开信息未披露具体法定代表人及主要管理人员（同名的个体工商户法定代表人为王广涛，但主体不同，不可直接套用）。管理以生产与销售负责人为主。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作为钢管制造企业，须建立质量与安全生产内控；公开显示执行ISO9001等标准（行业描述），但具体认证状态待核实。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公开披露职工约300多人，其中高级工程师20人、专业技师40人、外聘专家10人，技术与生产人员为主。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精密制造能力：冷轧精密管公差±0.05mm、内外表面无氧化层，具备汽车减震器、液压缸筒等专用高端精密管制造能力。二是全流程工序：穿孔—热轧—冷拔—冷轧一体化，规格覆盖φ18—351mm，柔性响应多品种小批量。三是区域集群配套：位于聊城钢管产业集聚区，上下游配套与物流便利。四是多品种覆盖：从精密光亮管到锅炉管、石油裂化管、船舶管、电力用管，应用场景广。五是贸易协同：兼营多家钢厂无缝钢管，增强客户粘性与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数据缺失与透明度风险：未能获取该有限公司精确工商与财务数据，尽调成本高，授信须以补充资料为前提。二是原料价格风险：管坯与钢材价格随行情波动，影响成本与毛利。三是客户与回款风险：汽车、机械等下游回款周期长，需强化应收管理。四是竞争风险：精密管赛道竞争者增多、同质化，须以精度与专用化维持溢价。五是主体混淆风险：与已注销的同名个体工商户主体易混淆，须以统一社会信用代码严格核验交易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汽车、机械等下游客户的应收账款可开展保理。供应链金融：围绕核心原料采购做订单融资、存货质押。融资租赁：冷轧管机、冷拔机组等设备升级适合直租/回租。小贷：面向临时性周转。鉴于其数据透明度低，建议以“小额、分散、强担保”为原则，优先绑定优质应收与设备增信，并先补全工商与财务资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鑫鹏源（聊城）智能科技有限公司是聊城高精管材集群的精密钢管代表企业，具备冷轧精密管制造能力与全流程工序，产品覆盖汽车、液压等高端场景，但工商与财务数据透明度低、规模属中型、与同名注销主体易混淆。发展展望：据行业趋势，汽车轻量化、液压气动与高端装备对精密管需求增长，公司可依托精度与多品种稳步发展。建议：一是以统一社会信用代码严格核验主体，补全工商与财务报表后再行授信；二是以设备融资租赁与优质应收保理切入，控制额度；三是关注原料价格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管道商务网（产能、装备、产品与规格）、中国管道商务网/制造厂黄页（冷轧精密管年产10万吨、公差±0.05mm、专用产品）、公开工商站点（同名个体工商户注销信息）。有限公司形态精确工商与财务数据未公开获取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