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肥城市工程机械智造特色产业集群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山东云宇机械集团有限公司企业分析报告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基于山东云宇机械集团官网、中国路面机械网报道及天眼查/爱企查工商信息整理。公司为非上市民营企业，财务数据未公开披露，以下采用公开报道口径（年产值近9亿元、年产驱动桥8万余条）并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云宇机械集团有限公司始建于1969年、2001年完成民营改制，注册地山东省肥城市高新技术开发区康王西路257号，法定代表人张建明，注册资本1600万元人民币，统一社会信用代码91370983729250864H；为非上市自然人控股企业（原机械工业部定点企业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集团化治理，设研发、生产、销售体系，对外投资多家企业，具分支机构。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1969年建厂、2001年民营改制，六十余年专注工程机械与农机驱动桥，获评山东省"专精特新"中小企业与高新技术企业。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定位为工程机械与农机驱动桥领域佼佼者，主营各种工程机械及矿山机械驱动桥、拖拉机前转向驱动桥、制动器、钢圈、铸件。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以驱动桥为主，辅以制动器、钢圈、铸件，主要为国内主机厂配套，批量出口。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0.9吨—8吨装载机驱动桥、65—500马力拖拉机车桥、工程机械/农机制动器、钢圈、铸件。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产品广销全国二十余省市，配套三一、中联、徐工、柳工、厦工、上海龙工等60余家主流品牌，多次获"优秀供应商""最佳质量奖"。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采购钢材、锻件、轴承等，受钢铁价格影响。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年产各类工程机械驱动桥8万余条、铸件4万吨、制动器40万套、钢圈2万套；通过ISO9001/ISO14001/ISO45001体系；高新技术企业、专精特新。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主机厂配套直销+出口，定制化开发优势突出。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（七）经营数据和市场占有率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公开报道年产值近9亿元、曾创年销售额过十亿；参保286人（2025年）。具体市占率未公开。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公司为非上市民营企业，近三年完整财务数据未公开披露。公开口径：年产值近9亿元、年产驱动桥8万余条（2024年报道）；曾创年销售额过十亿。具体营收、资产负债、现金流未披露，不予编造。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民营企业治理，法定代表人张建明主导。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法定代表人张建明；销售总经理张鲁冰（公开报道）。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通过三体系认证，质量与环保内控完备。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参保286人（2025年），技术与生产团队为主。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一是客户壁垒：配套三一、徐工、柳工等60余家头部主机厂。二是技术壁垒：四十余年驱动桥研发、专精特新+高新。三是品类壁垒：小众多面定制化产品优势。四是体系壁垒：三体系认证与稳定质量。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（一）行业与经营风险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工程机械与农机周期波动；客户集中度高；钢材成本波动；非上市财务透明度低。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拓展多马力桥型与出口；强化定制化研发；技改降本。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：对三一/徐工等主机厂应收账款可开展保理。供应链金融：围绕钢材采购与桥箱订单设计融资。设备融资租赁：加工中心/生产线可售后回租。山东投资可结合肥城工程机械集群，以供应链金融与设备租赁切入，关注行业周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云宇机械是肥城工程机械驱动桥骨干，配套60余家主机厂、年产值近9亿，资质与客户扎实。建议：山东投资以供应链金融与设备融资租赁切入，关注工程机械周期与客户集中度。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数据来源说明：山东云宇机械集团官网（yunyujx.com）；中国路面机械网《云宇车桥亮相2024济南工程机械展》（2024.6）；天眼查/爱企查工商信息（参保286人、A级纳税人）。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