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肥城市工程机械智造特色产业集群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山东鸿岳重工科技有限公司企业分析报告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（本报告基于天眼查/爱企查/企查查工商信息整理。山东鸿岳重工科技有限公司为非上市小微企业，财务数据未公开披露，以下采用工商公开信息并如实标注，未编造营收/利润数字。）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鸿岳重工科技有限公司成立于2020年6月19日，法定代表人于敏，注册资本600万元人民币，统一社会信用代码91370983MA3TB7KD17；注册地山东省肥城市高新区永安路以南、小财源街以东；企业类型为有限责任公司（自然人投资或控股），2023年股权变更后于敏持股90%、李传珍持股10%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设执行董事兼经理（于敏）、监事（李传珍），小型团队。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2020年成立，2023年8月股权变更（上海鑫岳退出，于敏持股升至90%），专注矿山/工程机械零部件。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定位为矿山、工程机械、农业机械及汽车零部件研发生产商，主营相关机械零部件研发、生产、销售，兼设备/房屋租赁与进出口贸易。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以矿山/工程机械/农机零部件制造与销售为主，辅以租赁与贸易。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矿山机械、工程机械、农业机械、汽车零部件的研发生产销售；机电设备与配件销售；设备/房屋租赁；进出口贸易。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下游为矿山、工程机械与农机整机厂及维修市场。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采购钢材、外协加工等，受原材料价格影响。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增值税一般纳税人；拥有专利4条（天眼查）、行政许可9个；小微企业。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以配套与经销为主，含出口贸易。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参保29人（2025年），人员规模小于50人；具体营收/市占率未公开披露。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公司为非上市小微企业，近三年完整财务数据未公开披露。公开信息：注册资本600万元、参保29人（2025年）、增值税一般纳税人、小微企业。具体营收、资产负债、现金流未披露，不予编造。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小型民营企业治理，于敏控股90%并任执行董事兼经理。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法定代表人/执行董事兼经理于敏，监事李传珍。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小规模经营，内控体系简易。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参保29人（2025年），小型技术与生产团队。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一是灵活壁垒：小批量、多品种零部件定制能力。二是资质壁垒：一般纳税人、专利与行政许可。三是成本壁垒：轻资产运营。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规模小、抗周期弱；客户与订单不稳定；实缴资本低（认缴2032年到期）；行业竞争充分。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聚焦细分零部件、拓展租赁与贸易；强化研发与资质。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保理：对整机厂应收账款可开展保理。供应链金融：围绕原材料采购与零部件订单设计小微融资。小贷：为设备及运营提供小额信贷。山东投资宜以小额供应链金融审慎介入，关注其规模小与抗风险弱。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鸿岳重工是肥城工程机械零部件小微供应商，规模小、资质齐全，适合配套定位。建议：山东投资以小额供应链金融审慎介入，关注其规模与实缴资本风险。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数据来源说明：天眼查/爱企查/企查查工商信息（注册资本600万、参保29人、于敏90%/李传珍10%、专利4条）。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