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肥城市高性能纤维及复合材料特色产业集群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泰安三英新材料股份有限公司企业分析报告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安三英新材料股份有限公司成立于2015年12月4日，法定代表人于淼，统一社会信用代码91370983MA3C236K46，企业类型为股份有限公司（非上市、自然人投资或控股），注册资本4,000万元（实缴4,000万元），注册地址位于山东省泰安肥城市安驾庄镇济兖路2号，登记机关为泰安市市场监督管理局，经营状态为存续。股票代码873502（新三板，证券简称“三英新材”），2021年4月1日挂牌新三板。参保人数约99—133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公司为自然人投资或控股的非上市公众公司（新三板挂牌），控股股东及实际控制人为自然人（公开披露控股股东持股约38.25%），无国有出资人。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新三板挂牌公众公司，设董事会、监事会及经营管理层；业务涵盖玻纤制品、玄武岩/碳纤维格栅、GMT复合板、汽车内饰材料的研发生产；对外投资与分支机构以母公司一体化经营为主。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2015年12月成立（曾用名泰安三英新材料有限公司）；2021年4月新三板挂牌（873502）；持续深耕玻纤/玄武岩纤维及碳纤维制品，获高新技术企业、科技型中小企业、专精特新中小企业、瞪羚企业等资质；2026年5月新增玻纤复合毡相关授权实用新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玻纤和玄武岩纤维材料生产商、特种复合材料研发生产销售企业。主营业务为生态环境材料、玻纤增强GMT复合板、汽车零配件及相关材料，玻璃纤维及辅助材料、玻璃钢制品、玻璃纤维格栅、塑料/钢塑格栅、玄武岩格栅、土工膜带、长丝机织布、网格布、抗车辙剂的研发、加工与销售，以及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业务以玻璃纤维制品为核心（玻纤短切毡、网格布、格栅等），并向玄武岩纤维、碳纤维格栅及GMT汽车内饰复合板延伸。2024年营业收入约1.24亿元，规模在行业内属中小型。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主导产品：汽车内饰用玻璃纤维短切毡、玻纤格栅、玄武岩格栅、钢塑/塑料格栅、玻璃钢制品、GMT复合板、长丝机织布、网格布、抗车辙剂等；产品远销欧美、亚太、非洲。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下游为汽车内饰、基建、复合材料加工企业，产品出口欧美、亚太、非洲，客户地域分布较广。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生产所需玻璃纤维纱、树脂等为主要采购对象，原料价格随玻纤与石化行情波动。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为高新技术企业、科技型中小企业、专精特新中小企业、瞪羚企业；拥有专利45项、商标2项、著作权11项；具备玻纤制品全流程加工能力。具体产能未公开披露。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以直销+出口为主，官网（sanyingjt.com）承担展示与客户对接，出口占比具备一定规模。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新三板披露：2024年营业收入12,280.98万元、归母净利润280.68万元、总资产9,475.76万元；2023年营业收入11,369.88万元、归母净利润253.02万元。公司在玻纤短切毡细分领域具稳定地位，但整体规模偏小，未公开细分市占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泰安三英新材为新三板挂牌公司（873502），财务数据来自2023、2024年年度报告及东方财富新三板F10，单位：元。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约131,000,000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113,698,785.63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122,809,776.76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约1,675,000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2,530,204.55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2,806,766.38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13.96%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约14.7%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约66,041,366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89,253,522.41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94,757,587.18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总负债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约19,874,090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40,556,041.81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43,253,300（合并）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约46,167,276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48,697,480.60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51,504,246.98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约30.09%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45.44%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45.65%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-4,200,100.97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12,105,114.66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营收由2023年1.14亿元增至2024年1.23亿元（+8.01%），归母净利润由253.02万元增至280.68万元（+10.93%）；毛利率约14%，处于玻纤制品行业中等水平；盈利规模较小但稳步增长。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2024年末总资产9,475.76万元，其中固定资产约1,249万元、使用权资产约1,503万元、存货约2,344万元、应收账款约1,833万元，资产结构以营运资本为主，固定资产占比偏低（轻资产加工）。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2024年末资产负债率45.65%，较2023年45.44%略升；负债以应付票据/账款（约4,040万元）、短期借款（约501万元）为主，流动比率尚可，偿债压力总体可控。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2024年经营活动现金流净额1,210.51万元，由2023年-420.01万元大幅转正（+388.21%），回款与经营质量改善明显；但2023年经营现金流转负提示需持续关注应收与存货周转。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与联谊工程塑料（营收近6亿元、单项冠军）相比，三英新材规模小一个数量级，毛利率（约14%）低于龙头；但作为新三板挂牌、高新技术企业，规范度与成长性较好，适合差异化定位。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新三板公众公司，设董事会、监事会，治理规范，定期披露年报与权益分派（2025年年度权益分派实施公告）；2024年基本每股收益0.07元。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法定代表人于淼；管理层以创始人/核心自然人股东为主，控股约38.25%，利益绑定。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按公众公司要求建立内控与信息披露体系；通过高新技术企业等资质认定，研发与质量管控较规范。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参保约99—133人，人员规模小、以技术与生产工人为主；专利45项体现一定研发密度。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与技术：玻纤/玄武岩/碳纤维多品类复合材料，45项专利，高新技术企业资质。二是出口渠道：产品远销欧美、亚太、非洲，具备一定海外客户基础。三是资质与规范：新三板挂牌提升治理规范与融资可得性，专精特新/瞪羚背书。四是轻资产灵活：固定资产占比低，可快速调整产品与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盈利风险：营收约1.2亿元、净利约280万元，抗周期能力弱；毛利率约14%偏低。二是原料价格风险：玻纤纱、树脂受行情波动。三是客户与出口风险：出口占比高，受贸易与汇率影响；2023年经营现金流转负提示回款风险。四是产能与竞争风险：行业同质化，需持续差异化。五是合规风险：公开显示存在少量司法/开庭记录，需关注合同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与国内销售应收账款可开展保理，改善现金流（2023年经营现金流转负即为痛点）。供应链金融：围绕核心原料采购做订单融资。融资租赁：设备升级适合直租/回租。小贷：面向临时周转。作为新三板规范企业，尽调成本较低，建议以应收保理+设备融资租赁切入，额度匹配其小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三英新材是肥城高性能纤维集群的新三板挂牌玻纤/玄武岩纤维企业，治理规范、出口与资质基础良好，但规模小、盈利薄、现金流曾承压。发展展望：据行业趋势，汽车轻量化、基建与复合材料需求增长，公司可依托多品类纤维与出口稳步扩张。建议：一是对接出口应收保理与设备融资租赁；二是关注2023年现金流波动成因，设置回款监测；三是可探索与联谊等龙头协同，补链强链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数据来源说明：新三板年度报告（2023、2024）、东方财富新三板F10（利润表/财务分析）、天眼查/爱企查（工商、资质、专利）、公司官网 sanyingjt.com（产品与出口）、全国中小企业股份转让系统公开信息。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