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肥城市高性能纤维及复合材料特色产业集群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肥城联谊工程塑料有限公司企业分析报告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联谊工程塑料有限公司成立于2002年9月27日，法定代表人张银堂，统一社会信用代码913709837433718497，企业类型为有限责任公司（自然人投资或控股），注册资本11,000万元（实缴11,000万元），注册地址位于肥城市高新技术开发区孙牛路与肥梁路交汇处，登记机关为肥城市市场监督管理局，经营状态为存续，营业期限至2032年9月27日。参保人数约278—279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公司股权为自然人投资或控股（公开工商未列明具体自然人比例），属民营控股企业，无国有出资人。为肥城市高性能纤维及复合材料产业集群龙头企业。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公司对外投资1家企业；内设研发、生产、销售、质量与项目创新团队，拥有技术研发中心；生产涵盖40多条土工材料设备生产线，并设有短切毡生产线。系中国土工合成材料工程协会及中国建筑学会会员单位。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9月成立；长期专注土工合成材料，攻克涂覆技术与装备“卡脖子”难题；2022年被工信部认定为第七批国家级制造业单项冠军企业；2023年入选山东省智能工厂/数字化车间，获国家级专精特新“小巨人”及“直接支持重点小巨人”扶持；2024年底计划新建总投资3亿元智能化工程材料产业园（达产可年产各类智能土工复合材料2.7亿平方米）；2025年“全流程数字化质量管理”入选全省质量标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设计、研发、生产、销售、服务于一体的国家高新技术企业、国内土工格栅制造行业主要企业、肥城高性能纤维及复合材料集群龙头。主营业务为土工合成材料制造，产品包括土工格栅、土工布、土工膜、土工格室、三维植被网、复合土工膜、防水板、排水板等，应用于公路、铁路、水利、电力、煤矿、水土保持及基建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土工格栅为核心（塑料/钢塑/玻纤/经编涤纶/玄武岩等全系列），并向土工布、土工膜、土工格室、防水卷材等延伸，形成“材料+系统服务”结构；公司正由产品供应商向系统服务商转型。公开披露2021年营业收入约5.99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双向/单向塑料土工格栅、玻纤格栅、经编涤纶格栅、钢塑复合格栅、煤矿井下用护帮网、玻璃纤维短切毡（年产13,000吨，宽幅可达3.4米）、土工布、土工膜、复合土工膜、土工格室、三维植被网等；首创“柔性双抗”涂覆材料，300KN/m径向断裂强力、-40℃至170℃极端环境93%性能保留率，超越国外领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客户覆盖高速公路、铁路、水利水电、煤矿等国家重点工程，获中铁、中交、中建等大型央企合格供应商准入；产品远销全球20多个国家和地区。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生产所需聚丙烯、聚乙烯等石化原料为主要采购对象，公司自建原料改性造粒车间以调控配方、源头把控品质；原料价格随石化行情波动。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320亩（26.644万平方米）、建筑面积13.6万平方米、固定资产约9.45亿元；拥有德国卡尔迈耶高速拉舍尔经编机、玛里莫多轴向织机、道尼尔织机等40多条生产线，掌握门泽尔涂层技术；通过ISO9001、ISO14001体系认证；累计120件授权专利，参与制定9项国家标准、5项行业标准；获国家制造业单项冠军、国家级专精特新“小巨人”、国家知识产权优势企业、山东省瞪羚等资质；建有5.5MW光伏发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以工程直销+央企集采准入为主，在国内外重点区域设仓储配送中心；提供选材、设计、施工指导、售后全周期服务；与华为合作研发数字化产品交付云管控系统。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2021年营业收入约5.99亿元；土工格栅全球市场占有率连续三年居首（中国金融信息网/大众日报）；每年将4.2%的营业收入投入研发；2024年底计划3亿元智能化产业园达产后年产智能土工复合材料2.7亿平方米。注：近三年完整财务数据未公开披露，2021年营收为公开报道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肥城联谊为非上市民营企业，近三年完整财务报表未公开披露；以下列公开可获取数据，单位：万元，不作编造。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11,000（实缴11,000）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固定资产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约94,500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320亩（26.644万m²）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2021年营业收入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约59,900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研发占营收比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全球市占率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土工格栅连续三年居首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财务数据未公开披露。公司作为国家级单项冠军与“小巨人”，产品附加值与定价能力较强，毛利率应优于行业平均；2021年营收约5.99亿元体现稳健规模。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固定资产约9.45亿元，重资产属性明显，与40余条生产线及厂房匹配；资产质量总体扎实。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无公开负债数据。建议授信前核查有息负债与对外担保；固定资产规模大、可支撑融资增信。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无公开现金流数据。工程业务回款周期较长，需关注经营性现金流与应收管理。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与泰安地区土工材料企业相比，联谊以“全球市占率连续三年居首+国家级单项冠军+小巨人”处于绝对领先；研发强度4.2%、120件专利、主导国标行标制定，技术壁垒突出。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有限责任公司（自然人投资或控股），设总经理（张银堂）及经营管理层；作为单项冠军企业，建立技术研发中心与项目创新团队。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法定代表人张银堂；副总经理张峰（公开采访代表，主导系统服务转型）；研发部主任孟亚男。管理层技术背景强，推动十年攻坚与数字化转型。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通过ISO9001/ISO14001体系，2025年“全流程数字化质量管理”入选全省质量标杆；与华为合作数字化云管控，内控与质量体系较完备。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官网披露员工约860人（其中高中级以上职称专业技术人员186名）；工商参保约278—279人（口径差异或因统计时点）；研发人员占比与专利产出匹配。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球市场地位：土工格栅全球市占率连续三年第一，国家级制造业单项冠军。二是技术与标准壁垒：120件专利、主导9项国标5项行标，首创“柔性双抗”涂覆，性能超越国外。三是资质与品牌：国家级专精特新“小巨人”、国家知识产权优势企业、山东省瞪羚，中铁/中交/中建合格供应商。四是一体化与数字化：自建改性造粒、40余条产线、华为数字化云管控、5.5MW光伏，成本与交付优势明显。五是系统服务转型：由产品向“选材—设计—施工—培训”全周期方案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基建周期风险：收入依赖公路、铁路、水利等基建投资，受宏观与财政支出影响；应对为拓展海外与多领域应用。二是原料价格风险：聚丙烯/聚乙烯随石化行情波动。三是客户与回款风险：工程业务回款周期长、集中度较高，公开风险信息显示存在一定裁判文书与涉诉记录，需强化应收账款管理。四是产能消化风险：3亿元智能化产业园扩产后需匹配需求。五是竞争风险：土工材料同质化竞争，须以技术与系统服务维持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中铁、中交、中建等央企的应收账款账期较长，可开展保理融资盘活资金。供应链金融：为上游原料供应商提供订单/存货融资。融资租赁：智能化产业园新设备（经编机、织机等进口设备）适合直租/回租。小贷：面向临时周转。联谊作为单项冠军、央企合格供应商，资产扎实、资质优良，是优质重点客户，建议以“央企应收保理+设备融资租赁”组合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肥城联谊是肥城高性能纤维及复合材料集群龙头、全球土工格栅单项冠军，技术、市场、资质与数字化能力全面领先，资产扎实；但收入依赖基建周期、财务透明度有限、存在一定涉诉与回款风险。发展展望：据公司规划与行业趋势，3亿元智能化产业园达产后将年产2.7亿平方米智能土工复合材料，并向系统服务商升级，成长空间明确。建议：一是对接央企应收保理与设备融资租赁；二是授信前补充规范财务资料并评估应收质量；三是关注基建投资节奏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（工商、股权、专利）、公司官网（产能与员工）、百度百科（营收/固定资产/资质）、中国金融信息网/大众日报（全球市占率居首）、肥城企业名录/公开资料、山东省质量标杆名单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