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胶州市新材料特色产业集群</w:t>
      </w:r>
    </w:p>
    <w:p>
      <w:pPr>
        <w:spacing w:lineRule="exact" w:line="600" w:before="240" w:after="240"/>
        <w:ind w:firstLine="0"/>
        <w:jc w:val="center"/>
      </w:pPr>
      <w:r>
        <w:rPr>
          <w:rFonts w:ascii="方正小标宋简体" w:hAnsi="方正小标宋简体" w:eastAsia="方正小标宋简体"/>
          <w:b w:val="0"/>
          <w:color w:val="000000"/>
          <w:sz w:val="44"/>
        </w:rPr>
        <w:t>青岛伊森新材料股份有限公司企业分析报告</w:t>
      </w:r>
    </w:p>
    <w:p>
      <w:pPr>
        <w:spacing w:lineRule="exact" w:line="600" w:before="0" w:after="0"/>
        <w:jc w:val="left"/>
      </w:pPr>
      <w:r>
        <w:rPr>
          <w:rFonts w:ascii="仿宋_GB2312" w:hAnsi="仿宋_GB2312" w:eastAsia="仿宋_GB2312"/>
          <w:b w:val="0"/>
          <w:color w:val="000000"/>
          <w:sz w:val="28"/>
        </w:rPr>
        <w:t>（本报告数据来源于公司年报/半年报、交易所及港交所公告、巨潮资讯网、东方财富、天眼查/爱企查/企查查、公司官网及权威媒体等公开渠道，统计时点截至最新披露信息；非上市企业未公开披露财务数据已如实标注，未作任何编造。报告供山东省投资有限公司业务参考之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青岛伊森新材料股份有限公司成立于2006年12月28日，法定代表人孙昌东，统一社会信用代码9137020079402955XM，企业类型为股份有限公司（港澳台投资、未上市），注册资本4,945万元（实缴4,945万元），注册地址位于山东省青岛市胶州市九龙街道办事处瓦屋庄村（建设路356号），登记机关为青岛市市场监督管理局，经营状态为存续。公司系全国中小企业股份转让系统挂牌公司，证券简称"伊森新材"，股票代码833408，位于新三板创新层；人员规模50—99人，参保人数约65—77人。</w:t>
      </w:r>
    </w:p>
    <w:p>
      <w:pPr>
        <w:spacing w:lineRule="exact" w:line="600" w:before="0" w:after="0"/>
        <w:ind w:firstLine="420"/>
        <w:jc w:val="both"/>
      </w:pPr>
      <w:r>
        <w:rPr>
          <w:rFonts w:ascii="仿宋_GB2312" w:hAnsi="仿宋_GB2312" w:eastAsia="仿宋_GB2312"/>
          <w:b w:val="0"/>
          <w:color w:val="000000"/>
          <w:sz w:val="32"/>
        </w:rPr>
        <w:t>股权结构：控股股东为三凯集团（香港）有限公司（持股45.45%）、青岛凯伊诺投资控股有限公司（持股34.66%），自然人孙昌东持股7.20%为受益所有人，其余为自然人小股东。公司属自然人/境外法人共同持股的民营控股企业（港澳台投资），无国有出资人。</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下设研发、生产、质量与营销体系，推行"一企一技术""企业技术中心"等科研平台；对外投资两家控股子公司：中瑞合成（青岛）新材料有限公司（持股70%，主营合成树脂延伸）与安徽伊森新材料有限公司（持股100%，在建基地）。前身为青岛伊森化学有限公司，现形成"总部研发生产+子公司延伸"的集团架构。</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2006年建厂，2015年9月挂牌新三板；长期聚焦高端功能性碳氢树脂，攻克批次法聚合核心工艺，实现高端碳氢树脂国产化替代，打破德国、韩国企业长期垄断。2020年入选国家级专精特新"小巨人"企业，2021年纳入山东省省级重点上市后备企业名单，2024年12月进入第八批山东省制造业单项冠军企业名单。目前公司处于IPO辅导阶段，拟投资约15亿元在江苏建设新项目。</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企业定位为集科研、生产、经营一体化的综合性高新技术企业，国内高端功能性碳氢树脂细分领域龙头。主营业务为以精炼树脂料/树脂油为原料，采用国际领先的催化聚合法生产高档功能性碳氢树脂系列产品及衍生品，主要应用于环保热熔胶、高端舰船防腐涂料、油墨、胶黏剂、橡胶、沥青等领域，起增粘补强防腐作用；主导品牌为"ESUN伊森®"，产品可100%替代进口。</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高度聚焦于碳氢树脂单一主业，2024年树脂类产品收入1.83亿元，占绝对比重；按区域分，国内收入1.20亿元（毛利率17.58%）、国外收入0.72亿元（毛利率10.50%）。公司正由通用树脂向加氢树脂、定制化树脂等高端系列延伸，优化产品结构。</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主导产品包括ESUN伊森®热熔专用树脂（ES100S/ES120S/ES150S等系列）、脂肪族树脂、加氢树脂（氢化脂肪族树脂）、定制化树脂，以及船舶长效防腐涂料用树脂、防滑轮胎用树脂两大系列。产品具有气味小、颜色浅、品质优、软化点可调等特点，应用于木工胶、EVA热熔胶、海洋防腐船舶漆等高端场景。</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公司是许多世界500强企业的合格供应商，国内客户为大型木工胶、船舶漆企业，海外客户分布于韩国、欧洲、日本、美国、澳大利亚、新加坡、中东、非洲等十余个国家和地区，已建立稳定销售网络。</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生产所需主要原料为精炼树脂油/树脂料，属石化下游衍生品，价格随国际油价与乙烯裂解产业链行情波动；公司通过工艺优化与配方调整平滑成本波动。</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占地3万平方米，建成年产12,000吨高端碳氢树脂生产线，掌握国内独有的批次法碳氢树脂生产工艺，手握30余项自主知识产权，深度参与行业标准制定。持有ISO9001质量管理体系、ISO14001环境管理体系、ISO45001职业健康安全管理体系认证；获评高新技术企业、国家级专精特新"小巨人"、山东省制造业单项冠军、山东省瞪羚企业、山东省著名商标等资质，拥有63项注册商标、约45项专利。</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采用"直销+海外代理"模式，在国内外重点区域布局销售网络，参与中国热熔胶专业高峰论坛等行业展会；建有完整理化测试设备与质量管理团队，以技术与服务绑定高端客户。</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高端碳氢树脂在船舶长效防腐涂料、防滑轮胎等细分领域全面实现国产化，为国内主要供应商，产品供货全球涂料龙头企业；公开报道显示其高端产品市场份额持续扩大。2024年营业收入1.95亿元、2025年报营业收入2.15亿元（上市公告口径），处于新三板创新层细分龙头地位。注：分产品市占率无独立公开披露数据，已如实说明。</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青岛伊森新材为新三板创新层挂牌公司（833408），财务数据来自2022—2024年年度报告、2025年年度报告（上市公告）及界面新闻等公开报道，单位：元；毛利率为年报披露口径。</w:t>
      </w:r>
    </w:p>
    <w:tbl>
      <w:tblPr>
        <w:tblStyle w:val="TableGrid"/>
        <w:tblW w:type="auto" w:w="0"/>
        <w:jc w:val="center"/>
        <w:tblLook w:firstColumn="1" w:firstRow="1" w:lastColumn="0" w:lastRow="0" w:noHBand="0" w:noVBand="1" w:val="04A0"/>
      </w:tblPr>
      <w:tblGrid>
        <w:gridCol w:w="1769"/>
        <w:gridCol w:w="1769"/>
        <w:gridCol w:w="1769"/>
        <w:gridCol w:w="1769"/>
        <w:gridCol w:w="1769"/>
      </w:tblGrid>
      <w:tr>
        <w:tc>
          <w:tcPr>
            <w:tcW w:type="dxa" w:w="1928"/>
          </w:tcPr>
          <w:p>
            <w:pPr>
              <w:spacing w:lineRule="exact" w:line="600"/>
              <w:jc w:val="center"/>
            </w:pPr>
            <w:r/>
            <w:r>
              <w:rPr>
                <w:rFonts w:ascii="黑体" w:hAnsi="黑体" w:eastAsia="黑体"/>
                <w:b/>
                <w:color w:val="000000"/>
                <w:sz w:val="32"/>
              </w:rPr>
              <w:t>指标</w:t>
            </w:r>
          </w:p>
        </w:tc>
        <w:tc>
          <w:tcPr>
            <w:tcW w:type="dxa" w:w="1757"/>
          </w:tcPr>
          <w:p>
            <w:pPr>
              <w:spacing w:lineRule="exact" w:line="600"/>
              <w:jc w:val="center"/>
            </w:pPr>
            <w:r/>
            <w:r>
              <w:rPr>
                <w:rFonts w:ascii="黑体" w:hAnsi="黑体" w:eastAsia="黑体"/>
                <w:b/>
                <w:color w:val="000000"/>
                <w:sz w:val="32"/>
              </w:rPr>
              <w:t>2022年</w:t>
            </w:r>
          </w:p>
        </w:tc>
        <w:tc>
          <w:tcPr>
            <w:tcW w:type="dxa" w:w="1757"/>
          </w:tcPr>
          <w:p>
            <w:pPr>
              <w:spacing w:lineRule="exact" w:line="600"/>
              <w:jc w:val="center"/>
            </w:pPr>
            <w:r/>
            <w:r>
              <w:rPr>
                <w:rFonts w:ascii="黑体" w:hAnsi="黑体" w:eastAsia="黑体"/>
                <w:b/>
                <w:color w:val="000000"/>
                <w:sz w:val="32"/>
              </w:rPr>
              <w:t>2023年</w:t>
            </w:r>
          </w:p>
        </w:tc>
        <w:tc>
          <w:tcPr>
            <w:tcW w:type="dxa" w:w="1757"/>
          </w:tcPr>
          <w:p>
            <w:pPr>
              <w:spacing w:lineRule="exact" w:line="600"/>
              <w:jc w:val="center"/>
            </w:pPr>
            <w:r/>
            <w:r>
              <w:rPr>
                <w:rFonts w:ascii="黑体" w:hAnsi="黑体" w:eastAsia="黑体"/>
                <w:b/>
                <w:color w:val="000000"/>
                <w:sz w:val="32"/>
              </w:rPr>
              <w:t>2024年</w:t>
            </w:r>
          </w:p>
        </w:tc>
        <w:tc>
          <w:tcPr>
            <w:tcW w:type="dxa" w:w="1757"/>
          </w:tcPr>
          <w:p>
            <w:pPr>
              <w:spacing w:lineRule="exact" w:line="600"/>
              <w:jc w:val="center"/>
            </w:pPr>
            <w:r/>
            <w:r>
              <w:rPr>
                <w:rFonts w:ascii="黑体" w:hAnsi="黑体" w:eastAsia="黑体"/>
                <w:b/>
                <w:color w:val="000000"/>
                <w:sz w:val="32"/>
              </w:rPr>
              <w:t>2025年(年报)</w:t>
            </w:r>
          </w:p>
        </w:tc>
      </w:tr>
      <w:tr>
        <w:tc>
          <w:tcPr>
            <w:tcW w:type="dxa" w:w="1928"/>
          </w:tcPr>
          <w:p>
            <w:pPr>
              <w:spacing w:lineRule="exact" w:line="600"/>
              <w:jc w:val="center"/>
            </w:pPr>
            <w:r/>
            <w:r>
              <w:rPr>
                <w:rFonts w:ascii="仿宋_GB2312" w:hAnsi="仿宋_GB2312" w:eastAsia="仿宋_GB2312"/>
                <w:b w:val="0"/>
                <w:color w:val="000000"/>
                <w:sz w:val="32"/>
              </w:rPr>
              <w:t>营业收入</w:t>
            </w:r>
          </w:p>
        </w:tc>
        <w:tc>
          <w:tcPr>
            <w:tcW w:type="dxa" w:w="1757"/>
          </w:tcPr>
          <w:p>
            <w:pPr>
              <w:spacing w:lineRule="exact" w:line="600"/>
              <w:jc w:val="center"/>
            </w:pPr>
            <w:r/>
            <w:r>
              <w:rPr>
                <w:rFonts w:ascii="仿宋_GB2312" w:hAnsi="仿宋_GB2312" w:eastAsia="仿宋_GB2312"/>
                <w:b w:val="0"/>
                <w:color w:val="000000"/>
                <w:sz w:val="32"/>
              </w:rPr>
              <w:t>177,000,000</w:t>
            </w:r>
          </w:p>
        </w:tc>
        <w:tc>
          <w:tcPr>
            <w:tcW w:type="dxa" w:w="1757"/>
          </w:tcPr>
          <w:p>
            <w:pPr>
              <w:spacing w:lineRule="exact" w:line="600"/>
              <w:jc w:val="center"/>
            </w:pPr>
            <w:r/>
            <w:r>
              <w:rPr>
                <w:rFonts w:ascii="仿宋_GB2312" w:hAnsi="仿宋_GB2312" w:eastAsia="仿宋_GB2312"/>
                <w:b w:val="0"/>
                <w:color w:val="000000"/>
                <w:sz w:val="32"/>
              </w:rPr>
              <w:t>188,000,000</w:t>
            </w:r>
          </w:p>
        </w:tc>
        <w:tc>
          <w:tcPr>
            <w:tcW w:type="dxa" w:w="1757"/>
          </w:tcPr>
          <w:p>
            <w:pPr>
              <w:spacing w:lineRule="exact" w:line="600"/>
              <w:jc w:val="center"/>
            </w:pPr>
            <w:r/>
            <w:r>
              <w:rPr>
                <w:rFonts w:ascii="仿宋_GB2312" w:hAnsi="仿宋_GB2312" w:eastAsia="仿宋_GB2312"/>
                <w:b w:val="0"/>
                <w:color w:val="000000"/>
                <w:sz w:val="32"/>
              </w:rPr>
              <w:t>195,000,000</w:t>
            </w:r>
          </w:p>
        </w:tc>
        <w:tc>
          <w:tcPr>
            <w:tcW w:type="dxa" w:w="1757"/>
          </w:tcPr>
          <w:p>
            <w:pPr>
              <w:spacing w:lineRule="exact" w:line="600"/>
              <w:jc w:val="center"/>
            </w:pPr>
            <w:r/>
            <w:r>
              <w:rPr>
                <w:rFonts w:ascii="仿宋_GB2312" w:hAnsi="仿宋_GB2312" w:eastAsia="仿宋_GB2312"/>
                <w:b w:val="0"/>
                <w:color w:val="000000"/>
                <w:sz w:val="32"/>
              </w:rPr>
              <w:t>215,000,000</w:t>
            </w:r>
          </w:p>
        </w:tc>
      </w:tr>
      <w:tr>
        <w:tc>
          <w:tcPr>
            <w:tcW w:type="dxa" w:w="1928"/>
          </w:tcPr>
          <w:p>
            <w:pPr>
              <w:spacing w:lineRule="exact" w:line="600"/>
              <w:jc w:val="center"/>
            </w:pPr>
            <w:r/>
            <w:r>
              <w:rPr>
                <w:rFonts w:ascii="仿宋_GB2312" w:hAnsi="仿宋_GB2312" w:eastAsia="仿宋_GB2312"/>
                <w:b w:val="0"/>
                <w:color w:val="000000"/>
                <w:sz w:val="32"/>
              </w:rPr>
              <w:t>归母净利润</w:t>
            </w:r>
          </w:p>
        </w:tc>
        <w:tc>
          <w:tcPr>
            <w:tcW w:type="dxa" w:w="1757"/>
          </w:tcPr>
          <w:p>
            <w:pPr>
              <w:spacing w:lineRule="exact" w:line="600"/>
              <w:jc w:val="center"/>
            </w:pPr>
            <w:r/>
            <w:r>
              <w:rPr>
                <w:rFonts w:ascii="仿宋_GB2312" w:hAnsi="仿宋_GB2312" w:eastAsia="仿宋_GB2312"/>
                <w:b w:val="0"/>
                <w:color w:val="000000"/>
                <w:sz w:val="32"/>
              </w:rPr>
              <w:t>17,845,600</w:t>
            </w:r>
          </w:p>
        </w:tc>
        <w:tc>
          <w:tcPr>
            <w:tcW w:type="dxa" w:w="1757"/>
          </w:tcPr>
          <w:p>
            <w:pPr>
              <w:spacing w:lineRule="exact" w:line="600"/>
              <w:jc w:val="center"/>
            </w:pPr>
            <w:r/>
            <w:r>
              <w:rPr>
                <w:rFonts w:ascii="仿宋_GB2312" w:hAnsi="仿宋_GB2312" w:eastAsia="仿宋_GB2312"/>
                <w:b w:val="0"/>
                <w:color w:val="000000"/>
                <w:sz w:val="32"/>
              </w:rPr>
              <w:t>8,426,700</w:t>
            </w:r>
          </w:p>
        </w:tc>
        <w:tc>
          <w:tcPr>
            <w:tcW w:type="dxa" w:w="1757"/>
          </w:tcPr>
          <w:p>
            <w:pPr>
              <w:spacing w:lineRule="exact" w:line="600"/>
              <w:jc w:val="center"/>
            </w:pPr>
            <w:r/>
            <w:r>
              <w:rPr>
                <w:rFonts w:ascii="仿宋_GB2312" w:hAnsi="仿宋_GB2312" w:eastAsia="仿宋_GB2312"/>
                <w:b w:val="0"/>
                <w:color w:val="000000"/>
                <w:sz w:val="32"/>
              </w:rPr>
              <w:t>10,370,400</w:t>
            </w:r>
          </w:p>
        </w:tc>
        <w:tc>
          <w:tcPr>
            <w:tcW w:type="dxa" w:w="1757"/>
          </w:tcPr>
          <w:p>
            <w:pPr>
              <w:spacing w:lineRule="exact" w:line="600"/>
              <w:jc w:val="center"/>
            </w:pPr>
            <w:r/>
            <w:r>
              <w:rPr>
                <w:rFonts w:ascii="仿宋_GB2312" w:hAnsi="仿宋_GB2312" w:eastAsia="仿宋_GB2312"/>
                <w:b w:val="0"/>
                <w:color w:val="000000"/>
                <w:sz w:val="32"/>
              </w:rPr>
              <w:t>未单列披露</w:t>
            </w:r>
          </w:p>
        </w:tc>
      </w:tr>
      <w:tr>
        <w:tc>
          <w:tcPr>
            <w:tcW w:type="dxa" w:w="1928"/>
          </w:tcPr>
          <w:p>
            <w:pPr>
              <w:spacing w:lineRule="exact" w:line="600"/>
              <w:jc w:val="center"/>
            </w:pPr>
            <w:r/>
            <w:r>
              <w:rPr>
                <w:rFonts w:ascii="仿宋_GB2312" w:hAnsi="仿宋_GB2312" w:eastAsia="仿宋_GB2312"/>
                <w:b w:val="0"/>
                <w:color w:val="000000"/>
                <w:sz w:val="32"/>
              </w:rPr>
              <w:t>毛利率</w:t>
            </w:r>
          </w:p>
        </w:tc>
        <w:tc>
          <w:tcPr>
            <w:tcW w:type="dxa" w:w="1757"/>
          </w:tcPr>
          <w:p>
            <w:pPr>
              <w:spacing w:lineRule="exact" w:line="600"/>
              <w:jc w:val="center"/>
            </w:pPr>
            <w:r/>
            <w:r>
              <w:rPr>
                <w:rFonts w:ascii="仿宋_GB2312" w:hAnsi="仿宋_GB2312" w:eastAsia="仿宋_GB2312"/>
                <w:b w:val="0"/>
                <w:color w:val="000000"/>
                <w:sz w:val="32"/>
              </w:rPr>
              <w:t>—</w:t>
            </w:r>
          </w:p>
        </w:tc>
        <w:tc>
          <w:tcPr>
            <w:tcW w:type="dxa" w:w="1757"/>
          </w:tcPr>
          <w:p>
            <w:pPr>
              <w:spacing w:lineRule="exact" w:line="600"/>
              <w:jc w:val="center"/>
            </w:pPr>
            <w:r/>
            <w:r>
              <w:rPr>
                <w:rFonts w:ascii="仿宋_GB2312" w:hAnsi="仿宋_GB2312" w:eastAsia="仿宋_GB2312"/>
                <w:b w:val="0"/>
                <w:color w:val="000000"/>
                <w:sz w:val="32"/>
              </w:rPr>
              <w:t>—</w:t>
            </w:r>
          </w:p>
        </w:tc>
        <w:tc>
          <w:tcPr>
            <w:tcW w:type="dxa" w:w="1757"/>
          </w:tcPr>
          <w:p>
            <w:pPr>
              <w:spacing w:lineRule="exact" w:line="600"/>
              <w:jc w:val="center"/>
            </w:pPr>
            <w:r/>
            <w:r>
              <w:rPr>
                <w:rFonts w:ascii="仿宋_GB2312" w:hAnsi="仿宋_GB2312" w:eastAsia="仿宋_GB2312"/>
                <w:b w:val="0"/>
                <w:color w:val="000000"/>
                <w:sz w:val="32"/>
              </w:rPr>
              <w:t>15.08%</w:t>
            </w:r>
          </w:p>
        </w:tc>
        <w:tc>
          <w:tcPr>
            <w:tcW w:type="dxa" w:w="1757"/>
          </w:tcPr>
          <w:p>
            <w:pPr>
              <w:spacing w:lineRule="exact" w:line="600"/>
              <w:jc w:val="center"/>
            </w:pPr>
            <w:r/>
            <w:r>
              <w:rPr>
                <w:rFonts w:ascii="仿宋_GB2312" w:hAnsi="仿宋_GB2312" w:eastAsia="仿宋_GB2312"/>
                <w:b w:val="0"/>
                <w:color w:val="000000"/>
                <w:sz w:val="32"/>
              </w:rPr>
              <w:t>—</w:t>
            </w:r>
          </w:p>
        </w:tc>
      </w:tr>
      <w:tr>
        <w:tc>
          <w:tcPr>
            <w:tcW w:type="dxa" w:w="1928"/>
          </w:tcPr>
          <w:p>
            <w:pPr>
              <w:spacing w:lineRule="exact" w:line="600"/>
              <w:jc w:val="center"/>
            </w:pPr>
            <w:r/>
            <w:r>
              <w:rPr>
                <w:rFonts w:ascii="仿宋_GB2312" w:hAnsi="仿宋_GB2312" w:eastAsia="仿宋_GB2312"/>
                <w:b w:val="0"/>
                <w:color w:val="000000"/>
                <w:sz w:val="32"/>
              </w:rPr>
              <w:t>总资产</w:t>
            </w:r>
          </w:p>
        </w:tc>
        <w:tc>
          <w:tcPr>
            <w:tcW w:type="dxa" w:w="1757"/>
          </w:tcPr>
          <w:p>
            <w:pPr>
              <w:spacing w:lineRule="exact" w:line="600"/>
              <w:jc w:val="center"/>
            </w:pPr>
            <w:r/>
            <w:r>
              <w:rPr>
                <w:rFonts w:ascii="仿宋_GB2312" w:hAnsi="仿宋_GB2312" w:eastAsia="仿宋_GB2312"/>
                <w:b w:val="0"/>
                <w:color w:val="000000"/>
                <w:sz w:val="32"/>
              </w:rPr>
              <w:t>—</w:t>
            </w:r>
          </w:p>
        </w:tc>
        <w:tc>
          <w:tcPr>
            <w:tcW w:type="dxa" w:w="1757"/>
          </w:tcPr>
          <w:p>
            <w:pPr>
              <w:spacing w:lineRule="exact" w:line="600"/>
              <w:jc w:val="center"/>
            </w:pPr>
            <w:r/>
            <w:r>
              <w:rPr>
                <w:rFonts w:ascii="仿宋_GB2312" w:hAnsi="仿宋_GB2312" w:eastAsia="仿宋_GB2312"/>
                <w:b w:val="0"/>
                <w:color w:val="000000"/>
                <w:sz w:val="32"/>
              </w:rPr>
              <w:t>—</w:t>
            </w:r>
          </w:p>
        </w:tc>
        <w:tc>
          <w:tcPr>
            <w:tcW w:type="dxa" w:w="1757"/>
          </w:tcPr>
          <w:p>
            <w:pPr>
              <w:spacing w:lineRule="exact" w:line="600"/>
              <w:jc w:val="center"/>
            </w:pPr>
            <w:r/>
            <w:r>
              <w:rPr>
                <w:rFonts w:ascii="仿宋_GB2312" w:hAnsi="仿宋_GB2312" w:eastAsia="仿宋_GB2312"/>
                <w:b w:val="0"/>
                <w:color w:val="000000"/>
                <w:sz w:val="32"/>
              </w:rPr>
              <w:t>156,000,000</w:t>
            </w:r>
          </w:p>
        </w:tc>
        <w:tc>
          <w:tcPr>
            <w:tcW w:type="dxa" w:w="1757"/>
          </w:tcPr>
          <w:p>
            <w:pPr>
              <w:spacing w:lineRule="exact" w:line="600"/>
              <w:jc w:val="center"/>
            </w:pPr>
            <w:r/>
            <w:r>
              <w:rPr>
                <w:rFonts w:ascii="仿宋_GB2312" w:hAnsi="仿宋_GB2312" w:eastAsia="仿宋_GB2312"/>
                <w:b w:val="0"/>
                <w:color w:val="000000"/>
                <w:sz w:val="32"/>
              </w:rPr>
              <w:t>—</w:t>
            </w:r>
          </w:p>
        </w:tc>
      </w:tr>
      <w:tr>
        <w:tc>
          <w:tcPr>
            <w:tcW w:type="dxa" w:w="1928"/>
          </w:tcPr>
          <w:p>
            <w:pPr>
              <w:spacing w:lineRule="exact" w:line="600"/>
              <w:jc w:val="center"/>
            </w:pPr>
            <w:r/>
            <w:r>
              <w:rPr>
                <w:rFonts w:ascii="仿宋_GB2312" w:hAnsi="仿宋_GB2312" w:eastAsia="仿宋_GB2312"/>
                <w:b w:val="0"/>
                <w:color w:val="000000"/>
                <w:sz w:val="32"/>
              </w:rPr>
              <w:t>总负债</w:t>
            </w:r>
          </w:p>
        </w:tc>
        <w:tc>
          <w:tcPr>
            <w:tcW w:type="dxa" w:w="1757"/>
          </w:tcPr>
          <w:p>
            <w:pPr>
              <w:spacing w:lineRule="exact" w:line="600"/>
              <w:jc w:val="center"/>
            </w:pPr>
            <w:r/>
            <w:r>
              <w:rPr>
                <w:rFonts w:ascii="仿宋_GB2312" w:hAnsi="仿宋_GB2312" w:eastAsia="仿宋_GB2312"/>
                <w:b w:val="0"/>
                <w:color w:val="000000"/>
                <w:sz w:val="32"/>
              </w:rPr>
              <w:t>—</w:t>
            </w:r>
          </w:p>
        </w:tc>
        <w:tc>
          <w:tcPr>
            <w:tcW w:type="dxa" w:w="1757"/>
          </w:tcPr>
          <w:p>
            <w:pPr>
              <w:spacing w:lineRule="exact" w:line="600"/>
              <w:jc w:val="center"/>
            </w:pPr>
            <w:r/>
            <w:r>
              <w:rPr>
                <w:rFonts w:ascii="仿宋_GB2312" w:hAnsi="仿宋_GB2312" w:eastAsia="仿宋_GB2312"/>
                <w:b w:val="0"/>
                <w:color w:val="000000"/>
                <w:sz w:val="32"/>
              </w:rPr>
              <w:t>—</w:t>
            </w:r>
          </w:p>
        </w:tc>
        <w:tc>
          <w:tcPr>
            <w:tcW w:type="dxa" w:w="1757"/>
          </w:tcPr>
          <w:p>
            <w:pPr>
              <w:spacing w:lineRule="exact" w:line="600"/>
              <w:jc w:val="center"/>
            </w:pPr>
            <w:r/>
            <w:r>
              <w:rPr>
                <w:rFonts w:ascii="仿宋_GB2312" w:hAnsi="仿宋_GB2312" w:eastAsia="仿宋_GB2312"/>
                <w:b w:val="0"/>
                <w:color w:val="000000"/>
                <w:sz w:val="32"/>
              </w:rPr>
              <w:t>72,279,200</w:t>
            </w:r>
          </w:p>
        </w:tc>
        <w:tc>
          <w:tcPr>
            <w:tcW w:type="dxa" w:w="1757"/>
          </w:tcPr>
          <w:p>
            <w:pPr>
              <w:spacing w:lineRule="exact" w:line="600"/>
              <w:jc w:val="center"/>
            </w:pPr>
            <w:r/>
            <w:r>
              <w:rPr>
                <w:rFonts w:ascii="仿宋_GB2312" w:hAnsi="仿宋_GB2312" w:eastAsia="仿宋_GB2312"/>
                <w:b w:val="0"/>
                <w:color w:val="000000"/>
                <w:sz w:val="32"/>
              </w:rPr>
              <w:t>—</w:t>
            </w:r>
          </w:p>
        </w:tc>
      </w:tr>
      <w:tr>
        <w:tc>
          <w:tcPr>
            <w:tcW w:type="dxa" w:w="1928"/>
          </w:tcPr>
          <w:p>
            <w:pPr>
              <w:spacing w:lineRule="exact" w:line="600"/>
              <w:jc w:val="center"/>
            </w:pPr>
            <w:r/>
            <w:r>
              <w:rPr>
                <w:rFonts w:ascii="仿宋_GB2312" w:hAnsi="仿宋_GB2312" w:eastAsia="仿宋_GB2312"/>
                <w:b w:val="0"/>
                <w:color w:val="000000"/>
                <w:sz w:val="32"/>
              </w:rPr>
              <w:t>资产负债率</w:t>
            </w:r>
          </w:p>
        </w:tc>
        <w:tc>
          <w:tcPr>
            <w:tcW w:type="dxa" w:w="1757"/>
          </w:tcPr>
          <w:p>
            <w:pPr>
              <w:spacing w:lineRule="exact" w:line="600"/>
              <w:jc w:val="center"/>
            </w:pPr>
            <w:r/>
            <w:r>
              <w:rPr>
                <w:rFonts w:ascii="仿宋_GB2312" w:hAnsi="仿宋_GB2312" w:eastAsia="仿宋_GB2312"/>
                <w:b w:val="0"/>
                <w:color w:val="000000"/>
                <w:sz w:val="32"/>
              </w:rPr>
              <w:t>—</w:t>
            </w:r>
          </w:p>
        </w:tc>
        <w:tc>
          <w:tcPr>
            <w:tcW w:type="dxa" w:w="1757"/>
          </w:tcPr>
          <w:p>
            <w:pPr>
              <w:spacing w:lineRule="exact" w:line="600"/>
              <w:jc w:val="center"/>
            </w:pPr>
            <w:r/>
            <w:r>
              <w:rPr>
                <w:rFonts w:ascii="仿宋_GB2312" w:hAnsi="仿宋_GB2312" w:eastAsia="仿宋_GB2312"/>
                <w:b w:val="0"/>
                <w:color w:val="000000"/>
                <w:sz w:val="32"/>
              </w:rPr>
              <w:t>—</w:t>
            </w:r>
          </w:p>
        </w:tc>
        <w:tc>
          <w:tcPr>
            <w:tcW w:type="dxa" w:w="1757"/>
          </w:tcPr>
          <w:p>
            <w:pPr>
              <w:spacing w:lineRule="exact" w:line="600"/>
              <w:jc w:val="center"/>
            </w:pPr>
            <w:r/>
            <w:r>
              <w:rPr>
                <w:rFonts w:ascii="仿宋_GB2312" w:hAnsi="仿宋_GB2312" w:eastAsia="仿宋_GB2312"/>
                <w:b w:val="0"/>
                <w:color w:val="000000"/>
                <w:sz w:val="32"/>
              </w:rPr>
              <w:t>46.27%</w:t>
            </w:r>
          </w:p>
        </w:tc>
        <w:tc>
          <w:tcPr>
            <w:tcW w:type="dxa" w:w="1757"/>
          </w:tcPr>
          <w:p>
            <w:pPr>
              <w:spacing w:lineRule="exact" w:line="600"/>
              <w:jc w:val="center"/>
            </w:pPr>
            <w:r/>
            <w:r>
              <w:rPr>
                <w:rFonts w:ascii="仿宋_GB2312" w:hAnsi="仿宋_GB2312" w:eastAsia="仿宋_GB2312"/>
                <w:b w:val="0"/>
                <w:color w:val="000000"/>
                <w:sz w:val="32"/>
              </w:rPr>
              <w:t>—</w:t>
            </w:r>
          </w:p>
        </w:tc>
      </w:tr>
      <w:tr>
        <w:tc>
          <w:tcPr>
            <w:tcW w:type="dxa" w:w="1928"/>
          </w:tcPr>
          <w:p>
            <w:pPr>
              <w:spacing w:lineRule="exact" w:line="600"/>
              <w:jc w:val="center"/>
            </w:pPr>
            <w:r/>
            <w:r>
              <w:rPr>
                <w:rFonts w:ascii="仿宋_GB2312" w:hAnsi="仿宋_GB2312" w:eastAsia="仿宋_GB2312"/>
                <w:b w:val="0"/>
                <w:color w:val="000000"/>
                <w:sz w:val="32"/>
              </w:rPr>
              <w:t>货币资金</w:t>
            </w:r>
          </w:p>
        </w:tc>
        <w:tc>
          <w:tcPr>
            <w:tcW w:type="dxa" w:w="1757"/>
          </w:tcPr>
          <w:p>
            <w:pPr>
              <w:spacing w:lineRule="exact" w:line="600"/>
              <w:jc w:val="center"/>
            </w:pPr>
            <w:r/>
            <w:r>
              <w:rPr>
                <w:rFonts w:ascii="仿宋_GB2312" w:hAnsi="仿宋_GB2312" w:eastAsia="仿宋_GB2312"/>
                <w:b w:val="0"/>
                <w:color w:val="000000"/>
                <w:sz w:val="32"/>
              </w:rPr>
              <w:t>—</w:t>
            </w:r>
          </w:p>
        </w:tc>
        <w:tc>
          <w:tcPr>
            <w:tcW w:type="dxa" w:w="1757"/>
          </w:tcPr>
          <w:p>
            <w:pPr>
              <w:spacing w:lineRule="exact" w:line="600"/>
              <w:jc w:val="center"/>
            </w:pPr>
            <w:r/>
            <w:r>
              <w:rPr>
                <w:rFonts w:ascii="仿宋_GB2312" w:hAnsi="仿宋_GB2312" w:eastAsia="仿宋_GB2312"/>
                <w:b w:val="0"/>
                <w:color w:val="000000"/>
                <w:sz w:val="32"/>
              </w:rPr>
              <w:t>—</w:t>
            </w:r>
          </w:p>
        </w:tc>
        <w:tc>
          <w:tcPr>
            <w:tcW w:type="dxa" w:w="1757"/>
          </w:tcPr>
          <w:p>
            <w:pPr>
              <w:spacing w:lineRule="exact" w:line="600"/>
              <w:jc w:val="center"/>
            </w:pPr>
            <w:r/>
            <w:r>
              <w:rPr>
                <w:rFonts w:ascii="仿宋_GB2312" w:hAnsi="仿宋_GB2312" w:eastAsia="仿宋_GB2312"/>
                <w:b w:val="0"/>
                <w:color w:val="000000"/>
                <w:sz w:val="32"/>
              </w:rPr>
              <w:t>20,591,300</w:t>
            </w:r>
          </w:p>
        </w:tc>
        <w:tc>
          <w:tcPr>
            <w:tcW w:type="dxa" w:w="1757"/>
          </w:tcPr>
          <w:p>
            <w:pPr>
              <w:spacing w:lineRule="exact" w:line="600"/>
              <w:jc w:val="center"/>
            </w:pPr>
            <w:r/>
            <w:r>
              <w:rPr>
                <w:rFonts w:ascii="仿宋_GB2312" w:hAnsi="仿宋_GB2312" w:eastAsia="仿宋_GB2312"/>
                <w:b w:val="0"/>
                <w:color w:val="000000"/>
                <w:sz w:val="32"/>
              </w:rPr>
              <w:t>—</w:t>
            </w:r>
          </w:p>
        </w:tc>
      </w:tr>
      <w:tr>
        <w:tc>
          <w:tcPr>
            <w:tcW w:type="dxa" w:w="1928"/>
          </w:tcPr>
          <w:p>
            <w:pPr>
              <w:spacing w:lineRule="exact" w:line="600"/>
              <w:jc w:val="center"/>
            </w:pPr>
            <w:r/>
            <w:r>
              <w:rPr>
                <w:rFonts w:ascii="仿宋_GB2312" w:hAnsi="仿宋_GB2312" w:eastAsia="仿宋_GB2312"/>
                <w:b w:val="0"/>
                <w:color w:val="000000"/>
                <w:sz w:val="32"/>
              </w:rPr>
              <w:t>应收账款</w:t>
            </w:r>
          </w:p>
        </w:tc>
        <w:tc>
          <w:tcPr>
            <w:tcW w:type="dxa" w:w="1757"/>
          </w:tcPr>
          <w:p>
            <w:pPr>
              <w:spacing w:lineRule="exact" w:line="600"/>
              <w:jc w:val="center"/>
            </w:pPr>
            <w:r/>
            <w:r>
              <w:rPr>
                <w:rFonts w:ascii="仿宋_GB2312" w:hAnsi="仿宋_GB2312" w:eastAsia="仿宋_GB2312"/>
                <w:b w:val="0"/>
                <w:color w:val="000000"/>
                <w:sz w:val="32"/>
              </w:rPr>
              <w:t>—</w:t>
            </w:r>
          </w:p>
        </w:tc>
        <w:tc>
          <w:tcPr>
            <w:tcW w:type="dxa" w:w="1757"/>
          </w:tcPr>
          <w:p>
            <w:pPr>
              <w:spacing w:lineRule="exact" w:line="600"/>
              <w:jc w:val="center"/>
            </w:pPr>
            <w:r/>
            <w:r>
              <w:rPr>
                <w:rFonts w:ascii="仿宋_GB2312" w:hAnsi="仿宋_GB2312" w:eastAsia="仿宋_GB2312"/>
                <w:b w:val="0"/>
                <w:color w:val="000000"/>
                <w:sz w:val="32"/>
              </w:rPr>
              <w:t>—</w:t>
            </w:r>
          </w:p>
        </w:tc>
        <w:tc>
          <w:tcPr>
            <w:tcW w:type="dxa" w:w="1757"/>
          </w:tcPr>
          <w:p>
            <w:pPr>
              <w:spacing w:lineRule="exact" w:line="600"/>
              <w:jc w:val="center"/>
            </w:pPr>
            <w:r/>
            <w:r>
              <w:rPr>
                <w:rFonts w:ascii="仿宋_GB2312" w:hAnsi="仿宋_GB2312" w:eastAsia="仿宋_GB2312"/>
                <w:b w:val="0"/>
                <w:color w:val="000000"/>
                <w:sz w:val="32"/>
              </w:rPr>
              <w:t>26,568,200</w:t>
            </w:r>
          </w:p>
        </w:tc>
        <w:tc>
          <w:tcPr>
            <w:tcW w:type="dxa" w:w="1757"/>
          </w:tcPr>
          <w:p>
            <w:pPr>
              <w:spacing w:lineRule="exact" w:line="600"/>
              <w:jc w:val="center"/>
            </w:pPr>
            <w:r/>
            <w:r>
              <w:rPr>
                <w:rFonts w:ascii="仿宋_GB2312" w:hAnsi="仿宋_GB2312" w:eastAsia="仿宋_GB2312"/>
                <w:b w:val="0"/>
                <w:color w:val="000000"/>
                <w:sz w:val="32"/>
              </w:rPr>
              <w:t>—</w:t>
            </w:r>
          </w:p>
        </w:tc>
      </w:tr>
      <w:tr>
        <w:tc>
          <w:tcPr>
            <w:tcW w:type="dxa" w:w="1928"/>
          </w:tcPr>
          <w:p>
            <w:pPr>
              <w:spacing w:lineRule="exact" w:line="600"/>
              <w:jc w:val="center"/>
            </w:pPr>
            <w:r/>
            <w:r>
              <w:rPr>
                <w:rFonts w:ascii="仿宋_GB2312" w:hAnsi="仿宋_GB2312" w:eastAsia="仿宋_GB2312"/>
                <w:b w:val="0"/>
                <w:color w:val="000000"/>
                <w:sz w:val="32"/>
              </w:rPr>
              <w:t>短期借款</w:t>
            </w:r>
          </w:p>
        </w:tc>
        <w:tc>
          <w:tcPr>
            <w:tcW w:type="dxa" w:w="1757"/>
          </w:tcPr>
          <w:p>
            <w:pPr>
              <w:spacing w:lineRule="exact" w:line="600"/>
              <w:jc w:val="center"/>
            </w:pPr>
            <w:r/>
            <w:r>
              <w:rPr>
                <w:rFonts w:ascii="仿宋_GB2312" w:hAnsi="仿宋_GB2312" w:eastAsia="仿宋_GB2312"/>
                <w:b w:val="0"/>
                <w:color w:val="000000"/>
                <w:sz w:val="32"/>
              </w:rPr>
              <w:t>—</w:t>
            </w:r>
          </w:p>
        </w:tc>
        <w:tc>
          <w:tcPr>
            <w:tcW w:type="dxa" w:w="1757"/>
          </w:tcPr>
          <w:p>
            <w:pPr>
              <w:spacing w:lineRule="exact" w:line="600"/>
              <w:jc w:val="center"/>
            </w:pPr>
            <w:r/>
            <w:r>
              <w:rPr>
                <w:rFonts w:ascii="仿宋_GB2312" w:hAnsi="仿宋_GB2312" w:eastAsia="仿宋_GB2312"/>
                <w:b w:val="0"/>
                <w:color w:val="000000"/>
                <w:sz w:val="32"/>
              </w:rPr>
              <w:t>—</w:t>
            </w:r>
          </w:p>
        </w:tc>
        <w:tc>
          <w:tcPr>
            <w:tcW w:type="dxa" w:w="1757"/>
          </w:tcPr>
          <w:p>
            <w:pPr>
              <w:spacing w:lineRule="exact" w:line="600"/>
              <w:jc w:val="center"/>
            </w:pPr>
            <w:r/>
            <w:r>
              <w:rPr>
                <w:rFonts w:ascii="仿宋_GB2312" w:hAnsi="仿宋_GB2312" w:eastAsia="仿宋_GB2312"/>
                <w:b w:val="0"/>
                <w:color w:val="000000"/>
                <w:sz w:val="32"/>
              </w:rPr>
              <w:t>52,692,400</w:t>
            </w:r>
          </w:p>
        </w:tc>
        <w:tc>
          <w:tcPr>
            <w:tcW w:type="dxa" w:w="1757"/>
          </w:tcPr>
          <w:p>
            <w:pPr>
              <w:spacing w:lineRule="exact" w:line="600"/>
              <w:jc w:val="center"/>
            </w:pPr>
            <w:r/>
            <w:r>
              <w:rPr>
                <w:rFonts w:ascii="仿宋_GB2312" w:hAnsi="仿宋_GB2312" w:eastAsia="仿宋_GB2312"/>
                <w:b w:val="0"/>
                <w:color w:val="000000"/>
                <w:sz w:val="32"/>
              </w:rPr>
              <w:t>—</w:t>
            </w:r>
          </w:p>
        </w:tc>
      </w:tr>
      <w:tr>
        <w:tc>
          <w:tcPr>
            <w:tcW w:type="dxa" w:w="1928"/>
          </w:tcPr>
          <w:p>
            <w:pPr>
              <w:spacing w:lineRule="exact" w:line="600"/>
              <w:jc w:val="center"/>
            </w:pPr>
            <w:r/>
            <w:r>
              <w:rPr>
                <w:rFonts w:ascii="仿宋_GB2312" w:hAnsi="仿宋_GB2312" w:eastAsia="仿宋_GB2312"/>
                <w:b w:val="0"/>
                <w:color w:val="000000"/>
                <w:sz w:val="32"/>
              </w:rPr>
              <w:t>长期借款</w:t>
            </w:r>
          </w:p>
        </w:tc>
        <w:tc>
          <w:tcPr>
            <w:tcW w:type="dxa" w:w="1757"/>
          </w:tcPr>
          <w:p>
            <w:pPr>
              <w:spacing w:lineRule="exact" w:line="600"/>
              <w:jc w:val="center"/>
            </w:pPr>
            <w:r/>
            <w:r>
              <w:rPr>
                <w:rFonts w:ascii="仿宋_GB2312" w:hAnsi="仿宋_GB2312" w:eastAsia="仿宋_GB2312"/>
                <w:b w:val="0"/>
                <w:color w:val="000000"/>
                <w:sz w:val="32"/>
              </w:rPr>
              <w:t>—</w:t>
            </w:r>
          </w:p>
        </w:tc>
        <w:tc>
          <w:tcPr>
            <w:tcW w:type="dxa" w:w="1757"/>
          </w:tcPr>
          <w:p>
            <w:pPr>
              <w:spacing w:lineRule="exact" w:line="600"/>
              <w:jc w:val="center"/>
            </w:pPr>
            <w:r/>
            <w:r>
              <w:rPr>
                <w:rFonts w:ascii="仿宋_GB2312" w:hAnsi="仿宋_GB2312" w:eastAsia="仿宋_GB2312"/>
                <w:b w:val="0"/>
                <w:color w:val="000000"/>
                <w:sz w:val="32"/>
              </w:rPr>
              <w:t>—</w:t>
            </w:r>
          </w:p>
        </w:tc>
        <w:tc>
          <w:tcPr>
            <w:tcW w:type="dxa" w:w="1757"/>
          </w:tcPr>
          <w:p>
            <w:pPr>
              <w:spacing w:lineRule="exact" w:line="600"/>
              <w:jc w:val="center"/>
            </w:pPr>
            <w:r/>
            <w:r>
              <w:rPr>
                <w:rFonts w:ascii="仿宋_GB2312" w:hAnsi="仿宋_GB2312" w:eastAsia="仿宋_GB2312"/>
                <w:b w:val="0"/>
                <w:color w:val="000000"/>
                <w:sz w:val="32"/>
              </w:rPr>
              <w:t>3,920,000</w:t>
            </w:r>
          </w:p>
        </w:tc>
        <w:tc>
          <w:tcPr>
            <w:tcW w:type="dxa" w:w="1757"/>
          </w:tcPr>
          <w:p>
            <w:pPr>
              <w:spacing w:lineRule="exact" w:line="600"/>
              <w:jc w:val="center"/>
            </w:pPr>
            <w:r/>
            <w:r>
              <w:rPr>
                <w:rFonts w:ascii="仿宋_GB2312" w:hAnsi="仿宋_GB2312" w:eastAsia="仿宋_GB2312"/>
                <w:b w:val="0"/>
                <w:color w:val="000000"/>
                <w:sz w:val="32"/>
              </w:rPr>
              <w:t>—</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营业收入由2022年1.77亿元增至2024年1.95亿元、2025年2.15亿元，保持稳步增长；归母净利润波动较大（2022年1,784.56万元、2023年842.67万元、2024年1,037.04万元），主要受原料价格、汇率及产品结构影响。2024年树脂类毛利率15.08%，国内业务毛利率（17.58%）高于国外（10.50%）。</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2024年末总资产1.56亿元，其中货币资金2,059.13万元、应收账款2,656.82万元、固定资产及在建工程为主要构成，资产以营运资本与设备为主，结构稳健。</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2024年末总负债7,227.92万元，资产负债率46.27%；短期借款5,269.24万元（占总资产33.73%）为最主要付息债务，长期借款仅392万元，存在一定短期偿债压力，需关注借款到期接续与流动性管理。</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公司未单独披露逐期经营现金流明细，但营收持续增长、盈利为正，经营活动现金整体健康；短期借款占比较高提示需匹配应收回款节奏，并关注扩产（江苏15亿新项目）带来的资本开支压力。</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国内碳氢/石油树脂企业相比，伊森新材以"催化聚合法+批次法工艺"形成技术差异化，毛利率高于通用热聚合树脂厂商；作为新三板创新层、国家级小巨人、省单项冠军，规范度与资质优于同业中小企业，正推进IPO，是细分赛道优质标的。</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新三板公众公司，设董事会、监事会，治理规范，定期披露年报；董事长孙昌东兼任总经理，核心团队多为自然人股东，利益绑定紧密。</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董事长、总经理孙昌东（受益人，主导高端树脂研发战略）；总经理赵方浩负责经营；董事会秘书、财务总监姜艳玉；董事孙建安、孙韶玲、武光亮等。管理层技术背景强，创始人孙昌东长期坚持自主研发。</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通过ISO9001/14001/45001体系认证，实施质量标准化与安全标准化生产；建有"一企一技术"研发中心与理化测试实验室，内控与质量体系较完备。</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参保人数约65—77人（2025年上市公告列77人），以技术与生产人员为主；拥有63项商标、约45项专利体现较好研发密度，技术人员占比符合高新技术企业要求。</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技术与工艺壁垒：掌握国内独有的批次法碳氢树脂生产工艺，催化聚合法稳定性优于通用热聚合，产品可100%替代进口，30余项自主知识产权、参与行业标准制定。二是资质与品牌：国家级专精特新"小巨人"、山东省制造业单项冠军、瞪羚企业、高新技术企业，"ESUN伊森®"山东省著名商标，世界500强合格供应商。三是进口替代与客户：船舶防腐、防滑轮胎树脂两大系列全面国产化，供货全球涂料龙头，客户优质稳定。四是资本与上市预期：新三板创新层+IPO辅导，融资渠道通畅。</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原料与价格风险：树脂油价格随石化行情波动，影响成本与毛利；应对为工艺优化与产品升级。二是盈利波动风险：归母净利润年度波动明显（2023年降至842.67万元），受汇率与产品结构影响。三是短期偿债风险：短期借款占总资产33.73%，存在流动性与接续压力。四是安全环保风险：化工生产企业须持续投入环保与安全管理，公开信息显示公司曾涉及2次行政处罚。五是股权与治理风险：公开资料显示存在少量立案与涉诉记录，需关注合同与应收账款管理。</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保理业务：出口与国内销售形成的应收账款（2024年末2,656.82万元）可开展保理，盘活资金、改善现金流。供应链金融：围绕核心原料供应商做订单融资、票据贴现。融资租赁：江苏15亿元新项目及现有产线设备投资适合以新购设备直租/回租，山东投资可重点对接。小贷：面向临时周转。鉴于企业资质优良、处于IPO辅导期，可作为重点客户，但须关注短期借款占比与扩产资本开支节奏。</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伊森新材是胶州新材料集群的高端碳氢树脂细分龙头，技术工艺国内独有、进口替代成效显著、资质与品牌突出，且处于IPO辅导期；但盈利波动、短期借款占比偏高、财务透明度仍受新三板披露限制。发展展望：据公司规划与行业趋势，环保热熔胶、高端防腐涂料、新能源 related 领域对高性能树脂需求增长，江苏新项目达产后成长空间较大。建议：一是对接产线设备融资租赁与出口应收保理；二是授信前核查短期债务结构与现金流，设置增信；三是持续跟踪IPO进度与扩产落地情况。</w:t>
      </w:r>
    </w:p>
    <w:p>
      <w:pPr>
        <w:spacing w:lineRule="exact" w:line="600" w:before="0" w:after="0"/>
        <w:jc w:val="left"/>
      </w:pPr>
      <w:r>
        <w:rPr>
          <w:rFonts w:ascii="仿宋_GB2312" w:hAnsi="仿宋_GB2312" w:eastAsia="仿宋_GB2312"/>
          <w:b w:val="0"/>
          <w:color w:val="000000"/>
          <w:sz w:val="28"/>
        </w:rPr>
        <w:t>数据来源说明：新三板年度报告（2022—2025）、东方财富/同花顺新三板F10、界面新闻鲁股观察（财务与项目）、公司官网 esunresin.com（产能与产品）、天眼查/爱企查（工商、股权、资质、专利）、大众日报/大众新闻（胶州新材料集群与单项冠军）、青企故事荟（创业与技术）。部分分产品市占率与2025归母净利润未单列披露，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