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青岛联信催化材料有限公司企业分析报告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联信催化材料有限公司成立于2012年6月5日，法定代表人李清刚，统一社会信用代码91370281595285227X，企业类型为有限责任公司（自然人投资或控股），注册资本3,000万元（实缴3,000万元），注册地址位于山东省青岛市胶州市经济技术开发区滦河路2号联东U谷21#102，登记机关为胶州市市场监督管理局，经营状态为存续。人员规模50—99人，参保人数约65人。</w:t>
      </w:r>
    </w:p>
    <w:p>
      <w:pPr>
        <w:spacing w:lineRule="exact" w:line="600" w:before="0" w:after="0"/>
        <w:ind w:firstLine="420"/>
        <w:jc w:val="both"/>
      </w:pPr>
      <w:r>
        <w:rPr>
          <w:rFonts w:ascii="仿宋_GB2312" w:hAnsi="仿宋_GB2312" w:eastAsia="仿宋_GB2312"/>
          <w:b w:val="0"/>
          <w:color w:val="000000"/>
          <w:sz w:val="32"/>
        </w:rPr>
        <w:t>股权结构：控股股东为山东三维化学集团股份有限公司（A股上市公司，股票代码002469）持股60%，自然人陈永柱持股18%、马勇持股10%、纵秋云持股10%、魏海持股2%。公司业务与核心技术承继自青岛联信化学有限公司，穿透后为山东三维化学集团控股的民营上市体系内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冯艺园）、总经理（李清刚）及多名董事、监事，形成规范法人治理；作为三维化学控股子公司，纳入上市公司合并管理。业务涵盖耐硫变换催化剂及配套净化剂、脱硫剂、脱毒剂、吸附剂的研发、生产与销售，是中国石油和化学工业联合会合成气耐硫变换技术工程实验室依托单位。</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技术源头可追溯至2002年的青岛联信化学，2012年6月正式成立；长期致力于耐硫变换技术研发，开发出QDB系列耐硫变换催化剂及低水/气比耐硫变换新工艺，多项达到国际领先水平。后被山东三维化学集团收购60%股权，成为其控股子公司；先后获国家发明专利及省部级科技进步一、二等奖三十余项，并获评高新技术企业、专精特新中小企业、制造业单项冠军企业、企业技术中心等资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科研开发、工艺设计、生产和经营于一体的耐硫变换工艺技术专业公司，国内知名的耐硫变换催化剂专业生产厂家。主营业务为耐硫变换催化剂、硫磺回收催化剂、水解剂、脱毒剂、吸附剂、脱硫剂的生产、销售及相关技术咨询，广泛应用于煤气化制氨、制甲醇、制氢、制油等煤化工与石油化工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业务以耐硫变换催化剂为核心，延伸至硫磺回收催化剂、水解剂、净化剂、脱硫剂、脱毒剂等系列，构成"催化剂+配套剂"一体化产品组合；公司未公开披露分产品收入占比。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QDB系列耐硫变换催化剂（包括QDB—04及QDB—05低水/气比耐硫变换催化剂等），以及硫磺回收催化剂、有机硫水解剂、净化剂、脱毒剂、脱硫剂，可提供30多种规格系列产品。其中QDB系列综合性能经专家鉴定达国际领先水平，低水/气比耐硫变换新工艺填补国际空白。</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大型煤化工、石化央企及国企为主，包括国能榆林化工、国家能源集团宁夏煤业、中煤平朔集团、晋能控股装备制造集团、河南能源集团、云天化、中海油惠州石化、神华宁煤（现国家能源宁夏煤业）、陕西煤业化工等，项目覆盖180万吨/年甲醇、合成氨、煤制油等大型装置，客户资质优、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生产所需为主要化工原料（载体、活性金属盐类等）及设备，原料价格随基础化工行情波动；公司依托三维化学供应链协同，采购稳定性较强。</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约66,000平方米，官网披露拥有耐硫变换催化剂及相关产品13,000吨/年的总生产能力（早期资料为3,000吨/年，口径差异或因产线扩建）。是中国石油和化学工业联合会合成气耐硫变换技术工程实验室、青岛科技大学催化剂试验研究基地、青岛市新型催化材料与工艺研发中心；拥有专利约45项，获国家发明专利及省部级科技进步一、二等奖三十余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采用"技术+产品"整体解决方案直销模式，深度参与大型煤化工项目招投标（如国家能源集团年度铺货采购中标候选人），以工程实验室技术与现场服务绑定大客户。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子公司，单体财务数据未公开披露，无公开营收、利润及市占率数据。从技术地位（国际领先、多项填补空白）与大型煤化工客户覆盖看，其在耐硫变换催化剂细分领域处于国内第一梯队，是三维化学"化工+催化剂"产业链的重要利润支撑。</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青岛联信催化为非上市子公司，单体近三年财务报表未公开披露（纳入三维化学002469合并口径）；以下仅列公开工商与产能信息，不作财务数据编造。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3,000万元（实缴3,000万元）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2012-06-05</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山东三维化学集团（002469）持股60%</w:t>
            </w:r>
          </w:p>
        </w:tc>
      </w:tr>
      <w:tr>
        <w:tc>
          <w:tcPr>
            <w:tcW w:type="dxa" w:w="2551"/>
          </w:tcPr>
          <w:p>
            <w:pPr>
              <w:spacing w:lineRule="exact" w:line="600"/>
              <w:jc w:val="center"/>
            </w:pPr>
            <w:r/>
            <w:r>
              <w:rPr>
                <w:rFonts w:ascii="仿宋_GB2312" w:hAnsi="仿宋_GB2312" w:eastAsia="仿宋_GB2312"/>
                <w:b w:val="0"/>
                <w:color w:val="000000"/>
                <w:sz w:val="32"/>
              </w:rPr>
              <w:t>产能</w:t>
            </w:r>
          </w:p>
        </w:tc>
        <w:tc>
          <w:tcPr>
            <w:tcW w:type="dxa" w:w="6236"/>
          </w:tcPr>
          <w:p>
            <w:pPr>
              <w:spacing w:lineRule="exact" w:line="600"/>
              <w:jc w:val="center"/>
            </w:pPr>
            <w:r/>
            <w:r>
              <w:rPr>
                <w:rFonts w:ascii="仿宋_GB2312" w:hAnsi="仿宋_GB2312" w:eastAsia="仿宋_GB2312"/>
                <w:b w:val="0"/>
                <w:color w:val="000000"/>
                <w:sz w:val="32"/>
              </w:rPr>
              <w:t>耐硫变换催化剂及相关产品约13,000吨/年</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约65人</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财务数据未公开披露。催化剂属高附加值精细化工，且绑定大型煤化工长周期项目，盈利质量通常较好；但受煤化工资本开支周期影响，订单与收入存在波动。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无公开资产数据。作为重技术、重设备企业，固定资产（反应釜、焙烧设备等）与无形资产（专利、工艺）占比较高，与产能匹配。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无公开负债数据。背靠三维化学（A股上市）信用背书，融资能力较强；建议授信前核查单体有息负债与关联资金往来。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无公开现金流数据。催化剂销售多为项目制、账期较长，需关注应收与经营现金流。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与国内耐硫变换催化剂同行相比，联信催化以QDB系列国际领先工艺、国家级工程实验室及大型煤化工标杆项目（神华宁煤400万吨煤制油等）应用形成显著壁垒，技术地位优于多数中小催化剂厂。</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作为三维化学控股子公司，纳入上市公司合并报表与内控体系，设董事长、总经理及董事、监事，治理规范；重大事项由股东三维化学决策。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董事长冯艺园（三维化学体系委派），总经理、董事李清刚；董事陈永柱、马勇、纵秋云、郝文亮等；核心团队兼具技术与产业背景。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依托合成气耐硫变换技术工程实验室与青岛科技大学研发基地，建立完善的研发与质量内控；作为化工企业须符合安全环保监管要求。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参保约65人，以研发、技术与生产人员为主；拥有多名业内知名专家、教授，专利45项体现较高研发密度。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QDB系列耐硫变换催化剂及低水/气比工艺达国际领先、多项填补国际空白，中国石油和化学工业联合会工程实验室依托单位。二是资质与品牌：高新技术企业、制造业单项冠军、专精特新中小企业、企业技术中心，省部级科技奖三十余项。三是客户壁垒：深度绑定国能、中煤、晋能、云天化等大型煤化工央企/国企，项目标杆效应强。四是股东协同：三维化学（A股）在化工工程与催化剂领域协同，信用与渠道优势明显。</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煤化工资本开支与油价/煤化工景气度高度相关，影响催化剂订单节奏；应对为拓展多元客户与产品。二是客户集中风险：收入依赖少数大型煤化工集团，单体项目波动影响大。三是安全环保风险：催化剂生产涉及化工工艺，须持续合规投入。四是股权与治理风险：公开信息显示公司存在一定天眼风险记录与涉诉，需关注合同与应收账款管理。五是财务透明度风险：非上市单体，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国能、中煤等大型央企的应收账款账期较长，可开展保理融资。供应链金融：围绕核心客户做订单融资、票据贴现。融资租赁：催化剂产线设备（反应釜、焙烧设备等）升级适合直租/回租。小贷：面向临时周转。背靠三维化学上市平台、技术领先、客户优质，是稳健型重点客户，建议以"核心客户应收保理+设备融资租赁"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联信催化是胶州新材料集群、三维化学旗下的耐硫变换催化剂细分龙头，技术国际领先、资质完备、客户为大型煤化工央企/国企，信用与协同优势突出；但非上市单体财务不透明、收入受煤化工周期影响。发展展望：据行业趋势，现代煤化工、化肥及氢能源对耐硫变换与硫磺回收催化剂需求稳健，公司依托工程实验室持续迭代，成长确定性强。建议：一是对接核心客户应收保理与设备融资租赁；二是授信前核查单体财务与关联交易；三是关注煤化工景气与项目招标节奏。</w:t>
      </w:r>
    </w:p>
    <w:p>
      <w:pPr>
        <w:spacing w:lineRule="exact" w:line="600" w:before="0" w:after="0"/>
        <w:jc w:val="left"/>
      </w:pPr>
      <w:r>
        <w:rPr>
          <w:rFonts w:ascii="仿宋_GB2312" w:hAnsi="仿宋_GB2312" w:eastAsia="仿宋_GB2312"/>
          <w:b w:val="0"/>
          <w:color w:val="000000"/>
          <w:sz w:val="28"/>
        </w:rPr>
        <w:t>数据来源说明：天眼查/爱企查/企查查（工商、股权、招投标、资质）、公司官网 longsense.com.cn（产能与产品）、三维化学（002469）收购公告及年报、中国能源招标网（中标信息）、大众日报/胶州新材料集群报道。财务数据未公开披露，已如实标注。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