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胶州市电力钢结构特色产业集群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青岛武晓集团股份有限公司企业分析报告</w:t>
      </w:r>
    </w:p>
    <w:p>
      <w:pPr>
        <w:spacing w:lineRule="exact" w:line="600" w:before="0" w:after="0"/>
        <w:jc w:val="left"/>
      </w:pPr>
      <w:r>
        <w:rPr>
          <w:rFonts w:ascii="仿宋_GB2312" w:hAnsi="仿宋_GB2312" w:eastAsia="仿宋_GB2312"/>
          <w:b w:val="0"/>
          <w:color w:val="000000"/>
          <w:sz w:val="28"/>
        </w:rPr>
        <w:t>（本报告财务数据来源于全国股转系统公开转让说明书及新三板年报（2023—2024年）、北交所IPO受理报道等公开披露信息；其他信息来源于公司官网、天眼查及齐鲁网、青岛新闻网等公开报道，统计时点截至最新披露信息。该公司为新三板挂牌企业（证券代码874870），正推进北交所IPO，财务数据已公开披露，非A股上市公司。）</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武晓集团股份有限公司前身为由胶州制塔厂演变而来的青岛武晓制塔有限公司，1998年3月设立，注册资本1.5亿元人民币，注册地位于山东省青岛胶州市，法定代表人为韩华（董事长兼总经理）。公司实际控制人为韩华、韩向峰、韩永波三兄弟及其母刘云芝（一致行动人），合计控制约94%股份。公司于2025年9月登陆新三板（证券代码874870），2026年6月北交所IPO申请获受理，是胶州市电力钢结构特色产业集群的骨干民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拥有4个事业部、10余个子公司（分布于山东、江苏、内蒙古、宁夏、新疆等地），下设输电线路铁塔、风塔、钢结构、海工装备等业务板块。2025年通过"绿色通道"机制从申报到挂牌仅32个交易日，资本运作高效。</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建于1993年（胶州制塔厂），1998年设立有限公司，深耕钢结构30余年；2014年曾冲击A股主板后撤回，2025年重启资本之路——6月申报新三板、9月挂牌、10月启动北交所辅导、2026年5月调入创新层、6月IPO获受理。从陆上钢结构"龙头"向海洋高端制造企业转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新能源钢结构与电力系统方案服务商，主营输电线路铁塔、风力发电塔架（风塔）、法兰、特种钢管、海工装备及各类钢结构研发生产销售。其中输电线路铁塔、变电站钢支架面向输电行业；风塔面向发电行业；钢结构及大口径直缝焊管面向建筑、船舶、机械、石化等基础行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输电线路铁塔与风塔为主，公开转让说明书披露2023年、2024年营收分别为22.34亿元、23.58亿元。产品结构中铁塔与风塔为核心，原材料成本（钢板、法兰等）约占产品成本70%以上。2025年营收进一步增至35.36亿元（北交所IPO报道口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输电线路铁塔（含特高压铁塔）、变电站钢支架、风塔（风电塔筒）、大口径直缝焊管、法兰、海工装备及各类钢结构。公司为福建北电南送1000kV特高压、阿拉善浩雅500kV等工程提供铁塔，为国家电投克东风电储能项目提供风塔。</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客户覆盖国家电网、南方电网、中国大唐、华能、国家能源集团等发电央企，以及金风科技、远景、明阳、GE、西门子等风电整机厂商，客户层级高、黏性强。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原材料以钢板、法兰等钢铁材料为主，成本占比70%以上，上游为钢铁行业；钢材价格波动影响毛利，公司通过规模化采购管理成本。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年产能达70万吨，全国布局11大生产基地（报道口径），员工1500余人。取得授权专利272项（其中发明专利23项），参与GB/T2694-2018《输电线路铁塔制造技术条件》等国家标准及多项行业标准编制，资质与技术储备充足。</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销售以电网与新能源央企/整机厂招标直销为主，国内外并行（报道称"全球领先电力系统方案服务商"）。</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据公开披露，2023年、2024年营收分别为22.34亿、23.58亿元，归母净利6583万、8217万元，综合毛利率12.15%、13.66%；2025年营收35.36亿元、归母净利1.99亿元（+169.31%），增长动能充沛，达到北交所上市标准。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公司公开披露（新三板公开转让说明书及年报）主要财务数据如下（单位：亿元）：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211"/>
          </w:tcPr>
          <w:p>
            <w:pPr>
              <w:spacing w:lineRule="exact" w:line="600"/>
              <w:jc w:val="center"/>
            </w:pPr>
            <w:r/>
            <w:r>
              <w:rPr>
                <w:rFonts w:ascii="黑体" w:hAnsi="黑体" w:eastAsia="黑体"/>
                <w:b/>
                <w:color w:val="000000"/>
                <w:sz w:val="32"/>
              </w:rPr>
              <w:t>指标</w:t>
            </w:r>
          </w:p>
        </w:tc>
        <w:tc>
          <w:tcPr>
            <w:tcW w:type="dxa" w:w="2211"/>
          </w:tcPr>
          <w:p>
            <w:pPr>
              <w:spacing w:lineRule="exact" w:line="600"/>
              <w:jc w:val="center"/>
            </w:pPr>
            <w:r/>
            <w:r>
              <w:rPr>
                <w:rFonts w:ascii="黑体" w:hAnsi="黑体" w:eastAsia="黑体"/>
                <w:b/>
                <w:color w:val="000000"/>
                <w:sz w:val="32"/>
              </w:rPr>
              <w:t>2023年</w:t>
            </w:r>
          </w:p>
        </w:tc>
        <w:tc>
          <w:tcPr>
            <w:tcW w:type="dxa" w:w="2211"/>
          </w:tcPr>
          <w:p>
            <w:pPr>
              <w:spacing w:lineRule="exact" w:line="600"/>
              <w:jc w:val="center"/>
            </w:pPr>
            <w:r/>
            <w:r>
              <w:rPr>
                <w:rFonts w:ascii="黑体" w:hAnsi="黑体" w:eastAsia="黑体"/>
                <w:b/>
                <w:color w:val="000000"/>
                <w:sz w:val="32"/>
              </w:rPr>
              <w:t>2024年</w:t>
            </w:r>
          </w:p>
        </w:tc>
        <w:tc>
          <w:tcPr>
            <w:tcW w:type="dxa" w:w="2211"/>
          </w:tcPr>
          <w:p>
            <w:pPr>
              <w:spacing w:lineRule="exact" w:line="600"/>
              <w:jc w:val="center"/>
            </w:pPr>
            <w:r/>
            <w:r>
              <w:rPr>
                <w:rFonts w:ascii="黑体" w:hAnsi="黑体" w:eastAsia="黑体"/>
                <w:b/>
                <w:color w:val="000000"/>
                <w:sz w:val="32"/>
              </w:rPr>
              <w:t>2025年*</w:t>
            </w:r>
          </w:p>
        </w:tc>
      </w:tr>
      <w:tr>
        <w:tc>
          <w:tcPr>
            <w:tcW w:type="dxa" w:w="2211"/>
          </w:tcPr>
          <w:p>
            <w:pPr>
              <w:spacing w:lineRule="exact" w:line="600"/>
              <w:jc w:val="center"/>
            </w:pPr>
            <w:r/>
            <w:r>
              <w:rPr>
                <w:rFonts w:ascii="仿宋_GB2312" w:hAnsi="仿宋_GB2312" w:eastAsia="仿宋_GB2312"/>
                <w:b w:val="0"/>
                <w:color w:val="000000"/>
                <w:sz w:val="32"/>
              </w:rPr>
              <w:t>营业总收入</w:t>
            </w:r>
          </w:p>
        </w:tc>
        <w:tc>
          <w:tcPr>
            <w:tcW w:type="dxa" w:w="2211"/>
          </w:tcPr>
          <w:p>
            <w:pPr>
              <w:spacing w:lineRule="exact" w:line="600"/>
              <w:jc w:val="center"/>
            </w:pPr>
            <w:r/>
            <w:r>
              <w:rPr>
                <w:rFonts w:ascii="仿宋_GB2312" w:hAnsi="仿宋_GB2312" w:eastAsia="仿宋_GB2312"/>
                <w:b w:val="0"/>
                <w:color w:val="000000"/>
                <w:sz w:val="32"/>
              </w:rPr>
              <w:t>22.34</w:t>
            </w:r>
          </w:p>
        </w:tc>
        <w:tc>
          <w:tcPr>
            <w:tcW w:type="dxa" w:w="2211"/>
          </w:tcPr>
          <w:p>
            <w:pPr>
              <w:spacing w:lineRule="exact" w:line="600"/>
              <w:jc w:val="center"/>
            </w:pPr>
            <w:r/>
            <w:r>
              <w:rPr>
                <w:rFonts w:ascii="仿宋_GB2312" w:hAnsi="仿宋_GB2312" w:eastAsia="仿宋_GB2312"/>
                <w:b w:val="0"/>
                <w:color w:val="000000"/>
                <w:sz w:val="32"/>
              </w:rPr>
              <w:t>23.58</w:t>
            </w:r>
          </w:p>
        </w:tc>
        <w:tc>
          <w:tcPr>
            <w:tcW w:type="dxa" w:w="2211"/>
          </w:tcPr>
          <w:p>
            <w:pPr>
              <w:spacing w:lineRule="exact" w:line="600"/>
              <w:jc w:val="center"/>
            </w:pPr>
            <w:r/>
            <w:r>
              <w:rPr>
                <w:rFonts w:ascii="仿宋_GB2312" w:hAnsi="仿宋_GB2312" w:eastAsia="仿宋_GB2312"/>
                <w:b w:val="0"/>
                <w:color w:val="000000"/>
                <w:sz w:val="32"/>
              </w:rPr>
              <w:t>35.36</w:t>
            </w:r>
          </w:p>
        </w:tc>
      </w:tr>
      <w:tr>
        <w:tc>
          <w:tcPr>
            <w:tcW w:type="dxa" w:w="2211"/>
          </w:tcPr>
          <w:p>
            <w:pPr>
              <w:spacing w:lineRule="exact" w:line="600"/>
              <w:jc w:val="center"/>
            </w:pPr>
            <w:r/>
            <w:r>
              <w:rPr>
                <w:rFonts w:ascii="仿宋_GB2312" w:hAnsi="仿宋_GB2312" w:eastAsia="仿宋_GB2312"/>
                <w:b w:val="0"/>
                <w:color w:val="000000"/>
                <w:sz w:val="32"/>
              </w:rPr>
              <w:t>归母净利润</w:t>
            </w:r>
          </w:p>
        </w:tc>
        <w:tc>
          <w:tcPr>
            <w:tcW w:type="dxa" w:w="2211"/>
          </w:tcPr>
          <w:p>
            <w:pPr>
              <w:spacing w:lineRule="exact" w:line="600"/>
              <w:jc w:val="center"/>
            </w:pPr>
            <w:r/>
            <w:r>
              <w:rPr>
                <w:rFonts w:ascii="仿宋_GB2312" w:hAnsi="仿宋_GB2312" w:eastAsia="仿宋_GB2312"/>
                <w:b w:val="0"/>
                <w:color w:val="000000"/>
                <w:sz w:val="32"/>
              </w:rPr>
              <w:t>0.66</w:t>
            </w:r>
          </w:p>
        </w:tc>
        <w:tc>
          <w:tcPr>
            <w:tcW w:type="dxa" w:w="2211"/>
          </w:tcPr>
          <w:p>
            <w:pPr>
              <w:spacing w:lineRule="exact" w:line="600"/>
              <w:jc w:val="center"/>
            </w:pPr>
            <w:r/>
            <w:r>
              <w:rPr>
                <w:rFonts w:ascii="仿宋_GB2312" w:hAnsi="仿宋_GB2312" w:eastAsia="仿宋_GB2312"/>
                <w:b w:val="0"/>
                <w:color w:val="000000"/>
                <w:sz w:val="32"/>
              </w:rPr>
              <w:t>0.82</w:t>
            </w:r>
          </w:p>
        </w:tc>
        <w:tc>
          <w:tcPr>
            <w:tcW w:type="dxa" w:w="2211"/>
          </w:tcPr>
          <w:p>
            <w:pPr>
              <w:spacing w:lineRule="exact" w:line="600"/>
              <w:jc w:val="center"/>
            </w:pPr>
            <w:r/>
            <w:r>
              <w:rPr>
                <w:rFonts w:ascii="仿宋_GB2312" w:hAnsi="仿宋_GB2312" w:eastAsia="仿宋_GB2312"/>
                <w:b w:val="0"/>
                <w:color w:val="000000"/>
                <w:sz w:val="32"/>
              </w:rPr>
              <w:t>1.99</w:t>
            </w:r>
          </w:p>
        </w:tc>
      </w:tr>
      <w:tr>
        <w:tc>
          <w:tcPr>
            <w:tcW w:type="dxa" w:w="2211"/>
          </w:tcPr>
          <w:p>
            <w:pPr>
              <w:spacing w:lineRule="exact" w:line="600"/>
              <w:jc w:val="center"/>
            </w:pPr>
            <w:r/>
            <w:r>
              <w:rPr>
                <w:rFonts w:ascii="仿宋_GB2312" w:hAnsi="仿宋_GB2312" w:eastAsia="仿宋_GB2312"/>
                <w:b w:val="0"/>
                <w:color w:val="000000"/>
                <w:sz w:val="32"/>
              </w:rPr>
              <w:t>综合毛利率</w:t>
            </w:r>
          </w:p>
        </w:tc>
        <w:tc>
          <w:tcPr>
            <w:tcW w:type="dxa" w:w="2211"/>
          </w:tcPr>
          <w:p>
            <w:pPr>
              <w:spacing w:lineRule="exact" w:line="600"/>
              <w:jc w:val="center"/>
            </w:pPr>
            <w:r/>
            <w:r>
              <w:rPr>
                <w:rFonts w:ascii="仿宋_GB2312" w:hAnsi="仿宋_GB2312" w:eastAsia="仿宋_GB2312"/>
                <w:b w:val="0"/>
                <w:color w:val="000000"/>
                <w:sz w:val="32"/>
              </w:rPr>
              <w:t>12.15%</w:t>
            </w:r>
          </w:p>
        </w:tc>
        <w:tc>
          <w:tcPr>
            <w:tcW w:type="dxa" w:w="2211"/>
          </w:tcPr>
          <w:p>
            <w:pPr>
              <w:spacing w:lineRule="exact" w:line="600"/>
              <w:jc w:val="center"/>
            </w:pPr>
            <w:r/>
            <w:r>
              <w:rPr>
                <w:rFonts w:ascii="仿宋_GB2312" w:hAnsi="仿宋_GB2312" w:eastAsia="仿宋_GB2312"/>
                <w:b w:val="0"/>
                <w:color w:val="000000"/>
                <w:sz w:val="32"/>
              </w:rPr>
              <w:t>13.66%</w:t>
            </w:r>
          </w:p>
        </w:tc>
        <w:tc>
          <w:tcPr>
            <w:tcW w:type="dxa" w:w="2211"/>
          </w:tcPr>
          <w:p>
            <w:pPr>
              <w:spacing w:lineRule="exact" w:line="600"/>
              <w:jc w:val="center"/>
            </w:pPr>
            <w:r/>
            <w:r>
              <w:rPr>
                <w:rFonts w:ascii="仿宋_GB2312" w:hAnsi="仿宋_GB2312" w:eastAsia="仿宋_GB2312"/>
                <w:b w:val="0"/>
                <w:color w:val="000000"/>
                <w:sz w:val="32"/>
              </w:rPr>
              <w:t>—</w:t>
            </w:r>
          </w:p>
        </w:tc>
      </w:tr>
      <w:tr>
        <w:tc>
          <w:tcPr>
            <w:tcW w:type="dxa" w:w="2211"/>
          </w:tcPr>
          <w:p>
            <w:pPr>
              <w:spacing w:lineRule="exact" w:line="600"/>
              <w:jc w:val="center"/>
            </w:pPr>
            <w:r/>
            <w:r>
              <w:rPr>
                <w:rFonts w:ascii="仿宋_GB2312" w:hAnsi="仿宋_GB2312" w:eastAsia="仿宋_GB2312"/>
                <w:b w:val="0"/>
                <w:color w:val="000000"/>
                <w:sz w:val="32"/>
              </w:rPr>
              <w:t>经营活动现金流量净额</w:t>
            </w:r>
          </w:p>
        </w:tc>
        <w:tc>
          <w:tcPr>
            <w:tcW w:type="dxa" w:w="2211"/>
          </w:tcPr>
          <w:p>
            <w:pPr>
              <w:spacing w:lineRule="exact" w:line="600"/>
              <w:jc w:val="center"/>
            </w:pPr>
            <w:r/>
            <w:r>
              <w:rPr>
                <w:rFonts w:ascii="仿宋_GB2312" w:hAnsi="仿宋_GB2312" w:eastAsia="仿宋_GB2312"/>
                <w:b w:val="0"/>
                <w:color w:val="000000"/>
                <w:sz w:val="32"/>
              </w:rPr>
              <w:t>1.40</w:t>
            </w:r>
          </w:p>
        </w:tc>
        <w:tc>
          <w:tcPr>
            <w:tcW w:type="dxa" w:w="2211"/>
          </w:tcPr>
          <w:p>
            <w:pPr>
              <w:spacing w:lineRule="exact" w:line="600"/>
              <w:jc w:val="center"/>
            </w:pPr>
            <w:r/>
            <w:r>
              <w:rPr>
                <w:rFonts w:ascii="仿宋_GB2312" w:hAnsi="仿宋_GB2312" w:eastAsia="仿宋_GB2312"/>
                <w:b w:val="0"/>
                <w:color w:val="000000"/>
                <w:sz w:val="32"/>
              </w:rPr>
              <w:t>2.12</w:t>
            </w:r>
          </w:p>
        </w:tc>
        <w:tc>
          <w:tcPr>
            <w:tcW w:type="dxa" w:w="2211"/>
          </w:tcPr>
          <w:p>
            <w:pPr>
              <w:spacing w:lineRule="exact" w:line="600"/>
              <w:jc w:val="center"/>
            </w:pPr>
            <w:r/>
            <w:r>
              <w:rPr>
                <w:rFonts w:ascii="仿宋_GB2312" w:hAnsi="仿宋_GB2312" w:eastAsia="仿宋_GB2312"/>
                <w:b w:val="0"/>
                <w:color w:val="000000"/>
                <w:sz w:val="32"/>
              </w:rPr>
              <w:t>—</w:t>
            </w:r>
          </w:p>
        </w:tc>
      </w:tr>
      <w:tr>
        <w:tc>
          <w:tcPr>
            <w:tcW w:type="dxa" w:w="2211"/>
          </w:tcPr>
          <w:p>
            <w:pPr>
              <w:spacing w:lineRule="exact" w:line="600"/>
              <w:jc w:val="center"/>
            </w:pPr>
            <w:r/>
            <w:r>
              <w:rPr>
                <w:rFonts w:ascii="仿宋_GB2312" w:hAnsi="仿宋_GB2312" w:eastAsia="仿宋_GB2312"/>
                <w:b w:val="0"/>
                <w:color w:val="000000"/>
                <w:sz w:val="32"/>
              </w:rPr>
              <w:t>研发投入</w:t>
            </w:r>
          </w:p>
        </w:tc>
        <w:tc>
          <w:tcPr>
            <w:tcW w:type="dxa" w:w="2211"/>
          </w:tcPr>
          <w:p>
            <w:pPr>
              <w:spacing w:lineRule="exact" w:line="600"/>
              <w:jc w:val="center"/>
            </w:pPr>
            <w:r/>
            <w:r>
              <w:rPr>
                <w:rFonts w:ascii="仿宋_GB2312" w:hAnsi="仿宋_GB2312" w:eastAsia="仿宋_GB2312"/>
                <w:b w:val="0"/>
                <w:color w:val="000000"/>
                <w:sz w:val="32"/>
              </w:rPr>
              <w:t>0.85</w:t>
            </w:r>
          </w:p>
        </w:tc>
        <w:tc>
          <w:tcPr>
            <w:tcW w:type="dxa" w:w="2211"/>
          </w:tcPr>
          <w:p>
            <w:pPr>
              <w:spacing w:lineRule="exact" w:line="600"/>
              <w:jc w:val="center"/>
            </w:pPr>
            <w:r/>
            <w:r>
              <w:rPr>
                <w:rFonts w:ascii="仿宋_GB2312" w:hAnsi="仿宋_GB2312" w:eastAsia="仿宋_GB2312"/>
                <w:b w:val="0"/>
                <w:color w:val="000000"/>
                <w:sz w:val="32"/>
              </w:rPr>
              <w:t>0.89</w:t>
            </w:r>
          </w:p>
        </w:tc>
        <w:tc>
          <w:tcPr>
            <w:tcW w:type="dxa" w:w="2211"/>
          </w:tcPr>
          <w:p>
            <w:pPr>
              <w:spacing w:lineRule="exact" w:line="600"/>
              <w:jc w:val="center"/>
            </w:pPr>
            <w:r/>
            <w:r>
              <w:rPr>
                <w:rFonts w:ascii="仿宋_GB2312" w:hAnsi="仿宋_GB2312" w:eastAsia="仿宋_GB2312"/>
                <w:b w:val="0"/>
                <w:color w:val="000000"/>
                <w:sz w:val="32"/>
              </w:rPr>
              <w:t>—</w:t>
            </w:r>
          </w:p>
        </w:tc>
      </w:tr>
      <w:tr>
        <w:tc>
          <w:tcPr>
            <w:tcW w:type="dxa" w:w="2211"/>
          </w:tcPr>
          <w:p>
            <w:pPr>
              <w:spacing w:lineRule="exact" w:line="600"/>
              <w:jc w:val="center"/>
            </w:pPr>
            <w:r/>
            <w:r>
              <w:rPr>
                <w:rFonts w:ascii="仿宋_GB2312" w:hAnsi="仿宋_GB2312" w:eastAsia="仿宋_GB2312"/>
                <w:b w:val="0"/>
                <w:color w:val="000000"/>
                <w:sz w:val="32"/>
              </w:rPr>
              <w:t>研发投入占营收</w:t>
            </w:r>
          </w:p>
        </w:tc>
        <w:tc>
          <w:tcPr>
            <w:tcW w:type="dxa" w:w="2211"/>
          </w:tcPr>
          <w:p>
            <w:pPr>
              <w:spacing w:lineRule="exact" w:line="600"/>
              <w:jc w:val="center"/>
            </w:pPr>
            <w:r/>
            <w:r>
              <w:rPr>
                <w:rFonts w:ascii="仿宋_GB2312" w:hAnsi="仿宋_GB2312" w:eastAsia="仿宋_GB2312"/>
                <w:b w:val="0"/>
                <w:color w:val="000000"/>
                <w:sz w:val="32"/>
              </w:rPr>
              <w:t>3.8%</w:t>
            </w:r>
          </w:p>
        </w:tc>
        <w:tc>
          <w:tcPr>
            <w:tcW w:type="dxa" w:w="2211"/>
          </w:tcPr>
          <w:p>
            <w:pPr>
              <w:spacing w:lineRule="exact" w:line="600"/>
              <w:jc w:val="center"/>
            </w:pPr>
            <w:r/>
            <w:r>
              <w:rPr>
                <w:rFonts w:ascii="仿宋_GB2312" w:hAnsi="仿宋_GB2312" w:eastAsia="仿宋_GB2312"/>
                <w:b w:val="0"/>
                <w:color w:val="000000"/>
                <w:sz w:val="32"/>
              </w:rPr>
              <w:t>3.8%</w:t>
            </w:r>
          </w:p>
        </w:tc>
        <w:tc>
          <w:tcPr>
            <w:tcW w:type="dxa" w:w="2211"/>
          </w:tcPr>
          <w:p>
            <w:pPr>
              <w:spacing w:lineRule="exact" w:line="600"/>
              <w:jc w:val="center"/>
            </w:pPr>
            <w:r/>
            <w:r>
              <w:rPr>
                <w:rFonts w:ascii="仿宋_GB2312" w:hAnsi="仿宋_GB2312" w:eastAsia="仿宋_GB2312"/>
                <w:b w:val="0"/>
                <w:color w:val="000000"/>
                <w:sz w:val="32"/>
              </w:rPr>
              <w:t>—</w:t>
            </w:r>
          </w:p>
        </w:tc>
      </w:tr>
    </w:tbl>
    <w:p>
      <w:pPr>
        <w:spacing w:lineRule="exact" w:line="600" w:before="0" w:after="0"/>
        <w:jc w:val="left"/>
      </w:pPr>
      <w:r>
        <w:rPr>
          <w:rFonts w:ascii="仿宋_GB2312" w:hAnsi="仿宋_GB2312" w:eastAsia="仿宋_GB2312"/>
          <w:b w:val="0"/>
          <w:color w:val="000000"/>
          <w:sz w:val="28"/>
        </w:rPr>
        <w:t>（*2025年数据来源于北交所IPO受理报道口径，未经年报审计；2023—2024年来源于公开转让说明书，为已披露数据。）</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2023—2024年归母净利6583万、8217万元，毛利率由12.15%升至13.66%，盈利稳步改善；2025年营收35.36亿、净利1.99亿（+169%），盈利规模与增速均达北交所标准，成长性突出。但毛利率仍偏低（约13%），盈利对规模与钢材成本敏感。</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公司年产能70万吨、专利272项、11大基地，资产以设备与存货为主；应收账款余额有所增长（公开转让说明书提示），需关注回款质量。</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公司财务数据未完整披露负债结构，但作为拟上市公司，资产负债水平需以招股书为准；经营现金流持续为正（2023年1.40亿、2024年2.12亿），自我造血能力较强。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经营活动现金流2023年1.40亿元、2024年2.12亿元，持续净流入且增长，盈利变现质量较好，支撑产能扩张与上市投入。</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与同集群东方铁塔（毛利率27%）、汇金通（毛利率14%）相比，武晓毛利率（约13%）与汇金通接近、低于东方铁塔，但增速更快、风塔与海工第二曲线清晰。</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公司为新三板挂牌并推进北交所IPO的企业，治理逐步规范化，设董事会、监事会；实控人韩氏家族持股集中（约94%），家族控制特征明显。</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董事长兼总经理韩华，与韩向峰、韩永波为兄弟一致行动人，创始团队稳定、行业经验深厚。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公司设4个事业部、10余子公司，多基地管理；作为拟上市公司正完善内控与信息披露体系。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员工1500余人，研发人员与制造队伍规模较大；研发投入稳定在营收3.8%，技术人才储备扎实。</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（一）特高压与风塔优势</w:t>
      </w:r>
    </w:p>
    <w:p>
      <w:pPr>
        <w:spacing w:lineRule="exact" w:line="600" w:before="0" w:after="0"/>
        <w:ind w:firstLine="420"/>
        <w:jc w:val="both"/>
      </w:pPr>
      <w:r>
        <w:rPr>
          <w:rFonts w:ascii="仿宋_GB2312" w:hAnsi="仿宋_GB2312" w:eastAsia="仿宋_GB2312"/>
          <w:b w:val="0"/>
          <w:color w:val="000000"/>
          <w:sz w:val="32"/>
        </w:rPr>
        <w:t>在特高压输电线路铁塔和风塔领域竞争优势突出，参与多项国家重点工程，技术壁垒与客户壁垒深厚。</w:t>
      </w:r>
    </w:p>
    <w:p>
      <w:pPr>
        <w:spacing w:lineRule="exact" w:line="600" w:before="120" w:after="120"/>
        <w:ind w:firstLine="420"/>
        <w:jc w:val="left"/>
      </w:pPr>
      <w:r>
        <w:rPr>
          <w:rFonts w:ascii="楷体_GB2312" w:hAnsi="楷体_GB2312" w:eastAsia="楷体_GB2312"/>
          <w:b w:val="0"/>
          <w:color w:val="000000"/>
          <w:sz w:val="32"/>
        </w:rPr>
        <w:t>（二）客户与资质壁垒</w:t>
      </w:r>
    </w:p>
    <w:p>
      <w:pPr>
        <w:spacing w:lineRule="exact" w:line="600" w:before="0" w:after="0"/>
        <w:ind w:firstLine="420"/>
        <w:jc w:val="both"/>
      </w:pPr>
      <w:r>
        <w:rPr>
          <w:rFonts w:ascii="仿宋_GB2312" w:hAnsi="仿宋_GB2312" w:eastAsia="仿宋_GB2312"/>
          <w:b w:val="0"/>
          <w:color w:val="000000"/>
          <w:sz w:val="32"/>
        </w:rPr>
        <w:t>与国家电网、南方电网、五大发电集团及金风、GE等长期合作；272项专利、参与国标行标，资质与品牌强。</w:t>
      </w:r>
    </w:p>
    <w:p>
      <w:pPr>
        <w:spacing w:lineRule="exact" w:line="600" w:before="120" w:after="120"/>
        <w:ind w:firstLine="420"/>
        <w:jc w:val="left"/>
      </w:pPr>
      <w:r>
        <w:rPr>
          <w:rFonts w:ascii="楷体_GB2312" w:hAnsi="楷体_GB2312" w:eastAsia="楷体_GB2312"/>
          <w:b w:val="0"/>
          <w:color w:val="000000"/>
          <w:sz w:val="32"/>
        </w:rPr>
        <w:t>（三）产能与基地网络</w:t>
      </w:r>
    </w:p>
    <w:p>
      <w:pPr>
        <w:spacing w:lineRule="exact" w:line="600" w:before="0" w:after="0"/>
        <w:ind w:firstLine="420"/>
        <w:jc w:val="both"/>
      </w:pPr>
      <w:r>
        <w:rPr>
          <w:rFonts w:ascii="仿宋_GB2312" w:hAnsi="仿宋_GB2312" w:eastAsia="仿宋_GB2312"/>
          <w:b w:val="0"/>
          <w:color w:val="000000"/>
          <w:sz w:val="32"/>
        </w:rPr>
        <w:t>年产能70万吨、11大基地全国布局，交付与规模优势显著。</w:t>
      </w:r>
    </w:p>
    <w:p>
      <w:pPr>
        <w:spacing w:lineRule="exact" w:line="600" w:before="120" w:after="120"/>
        <w:ind w:firstLine="420"/>
        <w:jc w:val="left"/>
      </w:pPr>
      <w:r>
        <w:rPr>
          <w:rFonts w:ascii="楷体_GB2312" w:hAnsi="楷体_GB2312" w:eastAsia="楷体_GB2312"/>
          <w:b w:val="0"/>
          <w:color w:val="000000"/>
          <w:sz w:val="32"/>
        </w:rPr>
        <w:t>（四）海工第二曲线</w:t>
      </w:r>
    </w:p>
    <w:p>
      <w:pPr>
        <w:spacing w:lineRule="exact" w:line="600" w:before="0" w:after="0"/>
        <w:ind w:firstLine="420"/>
        <w:jc w:val="both"/>
      </w:pPr>
      <w:r>
        <w:rPr>
          <w:rFonts w:ascii="仿宋_GB2312" w:hAnsi="仿宋_GB2312" w:eastAsia="仿宋_GB2312"/>
          <w:b w:val="0"/>
          <w:color w:val="000000"/>
          <w:sz w:val="32"/>
        </w:rPr>
        <w:t>北交所IPO拟募10亿元投向江苏嘉恒深远海海洋牧场装备基地（总投资30.21亿元），从陆上钢构龙头向海洋高端制造转型，打开第二增长曲线。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铁塔与风塔需求与电网、新能源投资节奏相关，钢材成本占比高，价格波动与行业竞争影响毛利。</w:t>
      </w:r>
    </w:p>
    <w:p>
      <w:pPr>
        <w:spacing w:lineRule="exact" w:line="600" w:before="120" w:after="120"/>
        <w:ind w:firstLine="420"/>
        <w:jc w:val="left"/>
      </w:pPr>
      <w:r>
        <w:rPr>
          <w:rFonts w:ascii="楷体_GB2312" w:hAnsi="楷体_GB2312" w:eastAsia="楷体_GB2312"/>
          <w:b w:val="0"/>
          <w:color w:val="000000"/>
          <w:sz w:val="32"/>
        </w:rPr>
        <w:t>（二）经营与供应链风险</w:t>
      </w:r>
    </w:p>
    <w:p>
      <w:pPr>
        <w:spacing w:lineRule="exact" w:line="600" w:before="0" w:after="0"/>
        <w:ind w:firstLine="420"/>
        <w:jc w:val="both"/>
      </w:pPr>
      <w:r>
        <w:rPr>
          <w:rFonts w:ascii="仿宋_GB2312" w:hAnsi="仿宋_GB2312" w:eastAsia="仿宋_GB2312"/>
          <w:b w:val="0"/>
          <w:color w:val="000000"/>
          <w:sz w:val="32"/>
        </w:rPr>
        <w:t>原材料（钢材）成本占比70%以上，价格波动直接挤压毛利；客户集中度高，回款周期影响现金流。</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实控人家族持股集中（约94%），公司治理独立性需以上市后规范；IPO审核存在不确定性；北交所IPO报道提及股价异常波动停牌核查，市场炒作风险。</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多基地、跨区域扩张与海工新业务对管理半径提出更高要求；家族企业治理透明度待提升。</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上游钢材采购与电网/整机厂回款错配，可开展应收账款保理与存货融资，盘活资金流。</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铁塔与风塔产线、海工装备基地设备投入大，可通过融资租赁分摊资本开支。</w:t>
      </w:r>
    </w:p>
    <w:p>
      <w:pPr>
        <w:spacing w:lineRule="exact" w:line="600" w:before="120" w:after="120"/>
        <w:ind w:firstLine="420"/>
        <w:jc w:val="left"/>
      </w:pPr>
      <w:r>
        <w:rPr>
          <w:rFonts w:ascii="楷体_GB2312" w:hAnsi="楷体_GB2312" w:eastAsia="楷体_GB2312"/>
          <w:b w:val="0"/>
          <w:color w:val="000000"/>
          <w:sz w:val="32"/>
        </w:rPr>
        <w:t>（三）产业基金/Pre-IPO</w:t>
      </w:r>
    </w:p>
    <w:p>
      <w:pPr>
        <w:spacing w:lineRule="exact" w:line="600" w:before="0" w:after="0"/>
        <w:ind w:firstLine="420"/>
        <w:jc w:val="both"/>
      </w:pPr>
      <w:r>
        <w:rPr>
          <w:rFonts w:ascii="仿宋_GB2312" w:hAnsi="仿宋_GB2312" w:eastAsia="仿宋_GB2312"/>
          <w:b w:val="0"/>
          <w:color w:val="000000"/>
          <w:sz w:val="32"/>
        </w:rPr>
        <w:t>公司正推进北交所IPO，山东投资可探讨通过产业基金参与其 Pre-IPO 或海工基地配套融资，支持深远海装备转型。</w:t>
      </w:r>
    </w:p>
    <w:p>
      <w:pPr>
        <w:spacing w:lineRule="exact" w:line="600" w:before="120" w:after="120"/>
        <w:ind w:firstLine="420"/>
        <w:jc w:val="left"/>
      </w:pPr>
      <w:r>
        <w:rPr>
          <w:rFonts w:ascii="楷体_GB2312" w:hAnsi="楷体_GB2312" w:eastAsia="楷体_GB2312"/>
          <w:b w:val="0"/>
          <w:color w:val="000000"/>
          <w:sz w:val="32"/>
        </w:rPr>
        <w:t>（四）综合建议</w:t>
      </w:r>
    </w:p>
    <w:p>
      <w:pPr>
        <w:spacing w:lineRule="exact" w:line="600" w:before="0" w:after="0"/>
        <w:ind w:firstLine="420"/>
        <w:jc w:val="both"/>
      </w:pPr>
      <w:r>
        <w:rPr>
          <w:rFonts w:ascii="仿宋_GB2312" w:hAnsi="仿宋_GB2312" w:eastAsia="仿宋_GB2312"/>
          <w:b w:val="0"/>
          <w:color w:val="000000"/>
          <w:sz w:val="32"/>
        </w:rPr>
        <w:t>建议以供应链金融、融资租赁为先导，在IPO进展明确后探讨股权合作，将其作为服务胶州电力钢结构集群、培育海工高端制造的重点标的。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武晓集团是胶州电力钢结构集群的骨干民企，特高压铁塔与风塔优势突出、客户层级高、产能与专利储备充足，正从陆上钢构龙头向海洋高端制造转型，成长性与战略价值突出。</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据公司规划，北交所IPO募资投向深远海装备基地，受益海上风电扩张周期，第二增长曲线清晰；2025年营收35亿、净利1.99亿，增长强劲。</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挑战在于毛利率偏低、钢材成本敏感、家族治理与IPO审核不确定性及跨区域管理压力。</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建议山东投资以供应链金融、融资租赁及产业基金多维切入，在评估IPO进展与治理规范后，将其作为服务胶州电力钢结构集群、协同海工转型的标的。</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jc w:val="left"/>
      </w:pPr>
      <w:r>
        <w:rPr>
          <w:rFonts w:ascii="仿宋_GB2312" w:hAnsi="仿宋_GB2312" w:eastAsia="仿宋_GB2312"/>
          <w:b w:val="0"/>
          <w:color w:val="000000"/>
          <w:sz w:val="28"/>
        </w:rPr>
        <w:t>本报告数据来源于：1）全国股转系统公开转让说明书及新三板年报（武晓集团2023—2024年营收22.34亿/23.58亿、净利6583万/8217万、毛利率12.15%/13.66%、经营现金流1.40亿/2.12亿）；2）齐鲁网《青岛武晓集团北交所IPO申报获受理》（2026-07-03，2025年营收35.36亿、净利1.99亿、拟募10亿）；3）青岛新闻网《武晓集团成功登陆新三板》（2025-09-17）；4）公司官网与天眼查。财务数据为公开披露（新三板/IPO申报），非A股上市公司。</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