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荣成市船舶修造及海工装备特色产业集群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黄海造船有限公司企业分析报告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国家企业信用信息公示系统、天眼查、爱企查、企查查、黄海造船官网及公开媒体报道。统计时点截至2025—2026年公开披露信息。公司为非上市民营企业，部分经营数据来源于公开报道，已在文中注明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黄海造船有限公司（曾用名：荣成造船工业有限公司）成立于1997年1月31日，法定代表人为张海文，统一社会信用代码为91371082720734945H，企业类型为有限责任公司。公司注册资本为110000万元人民币（约合11亿元），注册地址位于山东省威海市荣成市石岛黄海中路198号，登记机关为荣成市市场监督管理局，经营状态为存续（开业）。公司主营船舶制造与修理、海洋工程装备、港口及船用设备制造销售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股权结构为职工持股为主、地方国资参股的混合所有制：荣成市石岛管理区渔业船舶协会（职工持股平台）持股约80.43%，荣成市国有资本运营有限公司（荣成市国资）持股约19.57%。公司由张海文任董事长，下设造船、修船、海工等多个业务板块，并拥有配套船坞、码头与舾装设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前身为始建于1946年的荣成县造船厂，1997年改制设立黄海造船有限公司，是国内历史悠久的骨干民营造船企业之一。长期专注于中小型货船、客滚船、多用途船及远洋渔船建造，是北方地区重要的渔船与多用途船舶建造基地。近年公司在绿色船舶、新能源船舶领域持续投入，手持订单饱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以船舶建造与修理为主业、兼顾海洋工程装备的综合性民营造船企业。主营业务涵盖各类货船、客滚船、多用途船、远洋渔船及工作船的设计建造，船舶修理改装，以及船用设备、港口机械的制造销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公司业务由新船建造、修船改装、海工与船配三大板块构成。公开报道显示2024年营业收入约50.66亿元，手持船舶订单金额超过200亿元，排产已至2027年，但具体分板块收入占比未公开披露。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核心产品包括多用途货船、客滚船、远洋渔船、工作船及各类特种船舶，并具备船舶修理、改装与海工装备配套能力。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下游客户覆盖国内航运公司、渔业企业、港口运营方及国际船东，客户结构以长期合作船东为主，订单稳定性较强。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主要采购钢材、船用设备、发动机及舾装件，依托荣成石岛船舶产业链集群，配套供应成熟。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公司拥有船坞、舾装码头、船台等完整造船设施，具备万吨级以下多型船舶建造能力，并通过ISO9001等质量体系认证及船级社（如CCS）建造资质。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销售以船东直供与招投标为主，兼顾修船改装业务，并依托石岛港口区位开展国际船舶业务。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公开报道显示2024年营业收入约50.66亿元、手持订单超200亿元，在国内民营造船企业中位居前列，但细分市场占有率无公开量化数据。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黄海造船有限公司为非上市有限责任公司，未强制披露经审计年度财务报告。公开报道仅披露2024年营业收入约50.66亿元，近三年逐期营业收入、净利润、毛利率、资产负债率、经营活动现金流等未公开披露，本段不作编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造船业毛利率受钢价、汇率与船价周期影响显著，近年新船价格上行、手持订单饱满有利于盈利改善，但具体盈利指标未公开。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注册资本11亿元，资产以船坞码头、船台、设备、在建船舶及存货为主，重资产属性突出。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资产负债率未公开。公司由职工持股为主、荣成国资参股，信用状况总体良好，公开渠道未见重大债务违约。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经营现金流数据未公开。造船业务需大额垫资、回款周期长，对营运资金管理能力要求高。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与扬子江船业、新时代等民营造船上市/头部企业相比，黄海造船在区域与细分船型（渔船、多用途船）具备特色，但规模与资本化程度上弱于龙头。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公司为职工持股为主、国资参股的有限责任公司，设董事会与经营管理层，董事长张海文，治理体现职工持股与国资监督双重特征。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董事长张海文主持战略与经营，管理团队深耕船舶工业，熟悉建造与海工业务。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公司建立党组织与现代化管理制度，以船级社规范与质量体系强化内控与生产安全管理。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作为大型造船企业，用工以技术工人、焊工、舾装与工程人员为主，人员规模较大（参保数千人量级，具体以工商年报为准）。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一，历史与资质：成立于1946年建厂基础，船级社建造资质齐全；第二，产能设施：完整船坞、码头与船台，可承接多型船舶；第三，订单保障：手持订单超200亿元、排产至2027年，业务确定性高；第四，区位与集群：石岛船舶产业集群配套完备；第五，股东结构：职工持股激励与国资参股并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造船业强周期，受全球贸易、运力供需、钢价与汇率波动影响显著。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新船建造周期长、垫资大，存在交付与回款风险；公开资料显示公司涉及一定数量买卖合同与施工合同纠纷，需关注履约。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（三）财务与合规风险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重资产、高负债经营对资金成本敏感；环保（涂装、废水）与安全生产（船坞作业）合规要求高。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（四）企业现有应对措施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公司以饱满订单锁定生产；拓展绿色与新能源船舶提升附加值；以国资参股强化规范治理。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（一）保理业务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对船东进度款及应收账款可开展保理，缓解建造期垫资压力。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（二）供应链金融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围绕钢材、船用设备采购可开展供应链金融，平滑大宗采购资金波动。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（三）融资租赁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大型船坞设备及智能制造装备可采用融资租赁，优化资本开支。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（四）小额贷款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可作为中小供应商流动性支持（供应链金融外延）。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黄海造船是荣成市船舶修造及海工装备集群的龙头骨干，历史积淀深厚、手持订单充足、产能设施完备。综合评价：订单与产能优势突出，但行业周期、资金占用与合规是主要挑战。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发展展望：全球新船替代与绿色船舶需求上行，公司有望持续受益；拓展海工与新能源船舶将提升成长空间。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建议：一是与山东投资在应收账款保理、供应链金融方面合作；二是规范财务披露以拓宽银行授信；三是加大绿色智能船舶研发投入；四是强化汇率与交付风险管理。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数据来源说明：工商与股权信息来源于国家企业信用信息公示系统、天眼查、爱企查；经营数据来源于公开媒体报道；财务数据因公司非上市未完整披露，已如实标注。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