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莒县绿色食品深加工特色产业集群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山东恒宝食品集团有限公司企业分析报告</w:t>
      </w:r>
    </w:p>
    <w:p>
      <w:pPr>
        <w:spacing w:lineRule="exact" w:line="600" w:before="0" w:after="0"/>
        <w:jc w:val="left"/>
      </w:pPr>
      <w:r>
        <w:rPr>
          <w:rFonts w:ascii="仿宋_GB2312" w:hAnsi="仿宋_GB2312" w:eastAsia="仿宋_GB2312"/>
          <w:b w:val="0"/>
          <w:color w:val="000000"/>
          <w:sz w:val="28"/>
        </w:rPr>
        <w:t>（本报告基于天眼查、清科私募通（pedaily）、企知道、11467等公开渠道整理。该公司为非上市外商投资企业，财务数据未公开披露，相关部分已如实标注。不同来源对人员规模与股东口径存在差异，已按最新工商登记说明。）</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恒宝食品集团有限公司（曾用名：日照恒宝食品有限公司、山东恒宝食品有限公司）成立于2005年3月9日，注册地址位于山东省日照市莒县经济开发区潍坊中路99号，法定代表人为王佃岗。公司注册资本17,280万元人民币（实缴资本17,280万元），企业类型为有限责任公司（外国法人独资），统一社会信用代码913711007720840563，登记机关为日照市市场监督管理局。经营范围涵盖食品生产、家禽屠宰、保健食品生产、食品进出口、货物进出口，以及食用农产品初加工、服装制造、金属材料等一般项目。</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为外商独资企业，由恒宝环球有限公司100%持股（天眼查显示其上游控股方登记状态为已告解散，但股权登记仍为独资）。公司对外投资6家企业，设有执行董事兼总经理（王佃岗）与监事（刘福亮）。旗下形成以调理食品、速冻果蔬、罐头、面制品等为核心的食品业务体系，并曾于2009年引入马来西亚国库控股A轮融资5,800万美元。</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前身为日照恒宝食品有限公司，2005年改制为集团有限公司。早在1996年即实施HACCP计划，输美罐头通过美国FDA认证；1998年获ISO9001认证；2001年热加工含偶蹄动物肉产品获日本农林水产省认证；2004年通过对美热处理禽类、对韩国热加工禽类产品出口认证；2007年热加工禽肉、肉制品分别通过日本农林水产省与南非注册；2008年蔬菜车间通过欧盟BRC认证。2009年获马来西亚国库控股A轮投资。公司现为省级企业技术中心。</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定位为集收购、生产、贸易于一体的大型现代化食品企业，是莒县绿色食品深加工集群的省级农业产业化龙头企业。主营调理食品（猪肉、鸡鸭肉、牛肉土豆饼、肉馅饼、油炸/炭烤/烟熏肉类等）、芦笋茶制品、面制品（春卷、蒸饺、水饺、烧卖等）、罐头食品（水产、蔬菜、水果、牛排罐头）、速冻蔬菜水果（速冻绿芦笋、白芦笋、荷兰豆、甜豌豆、西兰花、蒜米、草莓、黄白桃等）、农副产品及低温油炸食品、宠物食品等。</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公司业务涵盖调理食品、速冻果蔬、罐头、面制品、农副产品等多元品类，以出口贸易为主。公开渠道未披露分业务营收占比，财务数据未公开。</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核心产品包括调理肉制品（唐扬鸡、烟熏鸭、碳烤鸭肉、肉洋葱串等）、速冻绿芦笋等果蔬、芦笋茶、春卷咖喱、罐头（水产/蔬菜/水果/牛排）、宠物食品及果蔬脆片等，形成"出口速冻方便食品+低温油炸+速冻调制食品"产品矩阵。</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公司以出口为导向，产品通过美国FDA、日本农林水产省、欧盟BRC等认证，主要面向海外商超与食品经销商。具体客户结构未公开。</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公司采购以农产品原料（芦笋、蔬菜、畜禽肉等）为主，依托莒县及周边农业资源。具体供应商信息未公开。</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具备多项国际认证资质：HACCP、美国FDA、ISO9001、日本农林水产省热加工肉制品注册、南非注册、欧盟BRC认证，构成出口核心牌照壁垒。拥有省级企业技术中心、商标34项、专利7项，对外投资6家企业支撑产业链协同。</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公司以食品进出口与货物进出口为主，依托国际认证资质开展海外贸易，并通过国内渠道销售部分产品。</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公开渠道对人员规模口径差异较大（天眼查参保约11—12人，历史黄页曾载501人），侧面反映其生产或部分环节存在外包。年营业收入、利润等财务指标未公开披露。</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该公司为非上市外商投资企业，财务数据未公开披露，无法获取近三年营收、净利润、资产负债率等指标。公开可查基础信息：注册资本17,280万元（实缴17,280万元）。</w:t>
      </w:r>
    </w:p>
    <w:p>
      <w:pPr>
        <w:spacing w:lineRule="exact" w:line="600" w:before="120" w:after="120"/>
        <w:ind w:firstLine="420"/>
        <w:jc w:val="left"/>
      </w:pPr>
      <w:r>
        <w:rPr>
          <w:rFonts w:ascii="楷体_GB2312" w:hAnsi="楷体_GB2312" w:eastAsia="楷体_GB2312"/>
          <w:b w:val="0"/>
          <w:color w:val="000000"/>
          <w:sz w:val="32"/>
        </w:rPr>
        <w:t>（二）至（六）分析</w:t>
      </w:r>
    </w:p>
    <w:p>
      <w:pPr>
        <w:spacing w:lineRule="exact" w:line="600" w:before="0" w:after="0"/>
        <w:ind w:firstLine="420"/>
        <w:jc w:val="both"/>
      </w:pPr>
      <w:r>
        <w:rPr>
          <w:rFonts w:ascii="仿宋_GB2312" w:hAnsi="仿宋_GB2312" w:eastAsia="仿宋_GB2312"/>
          <w:b w:val="0"/>
          <w:color w:val="000000"/>
          <w:sz w:val="32"/>
        </w:rPr>
        <w:t>财务数据未公开披露，无法开展盈利、资产、负债、现金流及同业量化分析。</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公司为外商独资有限责任公司，设执行董事（王佃岗）与监事（刘福亮），由恒宝环球有限公司全资控股。治理相对集中。</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法定代表人、执行董事兼总经理王佃岗，监事刘福亮。管理层在出口食品加工领域经验丰富。</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公司建立了以国际食品安全体系（HACCP、BRC、ISO9001）为核心的质量与内控体系，支撑出口合规。</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公开参保口径差异较大（约11—12人至历史501人），团队以生产、外贸、研发为主。</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第一，资质与认证壁垒：同时拥有美国FDA、日本农林水产省、欧盟BRC、HACCP、ISO9001等全系列出口认证，准入门槛极高；第二，产品矩阵壁垒：调理食品、速冻果蔬、罐头、面制品多品类协同；第三，技术与品牌壁垒：省级企业技术中心、34项商标、7项专利；第四，产业链壁垒：对外投资6家企业，集收购、生产、贸易一体；第五，资本壁垒：曾引入马来西亚国库控股A轮5,800万美元，注册资本1.73亿元。</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（一）行业风险</w:t>
      </w:r>
    </w:p>
    <w:p>
      <w:pPr>
        <w:spacing w:lineRule="exact" w:line="600" w:before="0" w:after="0"/>
        <w:ind w:firstLine="420"/>
        <w:jc w:val="both"/>
      </w:pPr>
      <w:r>
        <w:rPr>
          <w:rFonts w:ascii="仿宋_GB2312" w:hAnsi="仿宋_GB2312" w:eastAsia="仿宋_GB2312"/>
          <w:b w:val="0"/>
          <w:color w:val="000000"/>
          <w:sz w:val="32"/>
        </w:rPr>
        <w:t>食品加工行业受原料价格波动、食品安全监管与国际贸易政策影响；出口型企业还面临汇率与关税风险。</w:t>
      </w:r>
    </w:p>
    <w:p>
      <w:pPr>
        <w:spacing w:lineRule="exact" w:line="600" w:before="120" w:after="120"/>
        <w:ind w:firstLine="420"/>
        <w:jc w:val="left"/>
      </w:pPr>
      <w:r>
        <w:rPr>
          <w:rFonts w:ascii="楷体_GB2312" w:hAnsi="楷体_GB2312" w:eastAsia="楷体_GB2312"/>
          <w:b w:val="0"/>
          <w:color w:val="000000"/>
          <w:sz w:val="32"/>
        </w:rPr>
        <w:t>（二）经营风险</w:t>
      </w:r>
    </w:p>
    <w:p>
      <w:pPr>
        <w:spacing w:lineRule="exact" w:line="600" w:before="0" w:after="0"/>
        <w:ind w:firstLine="420"/>
        <w:jc w:val="both"/>
      </w:pPr>
      <w:r>
        <w:rPr>
          <w:rFonts w:ascii="仿宋_GB2312" w:hAnsi="仿宋_GB2312" w:eastAsia="仿宋_GB2312"/>
          <w:b w:val="0"/>
          <w:color w:val="000000"/>
          <w:sz w:val="32"/>
        </w:rPr>
        <w:t>公司业务以出口为主，海外市场需求与贸易壁垒变化影响大；公开口径显示人员规模波动，或反映外包与生产组织调整。</w:t>
      </w:r>
    </w:p>
    <w:p>
      <w:pPr>
        <w:spacing w:lineRule="exact" w:line="600" w:before="120" w:after="120"/>
        <w:ind w:firstLine="420"/>
        <w:jc w:val="left"/>
      </w:pPr>
      <w:r>
        <w:rPr>
          <w:rFonts w:ascii="楷体_GB2312" w:hAnsi="楷体_GB2312" w:eastAsia="楷体_GB2312"/>
          <w:b w:val="0"/>
          <w:color w:val="000000"/>
          <w:sz w:val="32"/>
        </w:rPr>
        <w:t>（三）财务风险</w:t>
      </w:r>
    </w:p>
    <w:p>
      <w:pPr>
        <w:spacing w:lineRule="exact" w:line="600" w:before="0" w:after="0"/>
        <w:ind w:firstLine="420"/>
        <w:jc w:val="both"/>
      </w:pPr>
      <w:r>
        <w:rPr>
          <w:rFonts w:ascii="仿宋_GB2312" w:hAnsi="仿宋_GB2312" w:eastAsia="仿宋_GB2312"/>
          <w:b w:val="0"/>
          <w:color w:val="000000"/>
          <w:sz w:val="32"/>
        </w:rPr>
        <w:t>财务数据未公开。外商独资结构下，资金调度与母公司状况需关注。</w:t>
      </w:r>
    </w:p>
    <w:p>
      <w:pPr>
        <w:spacing w:lineRule="exact" w:line="600" w:before="120" w:after="120"/>
        <w:ind w:firstLine="420"/>
        <w:jc w:val="left"/>
      </w:pPr>
      <w:r>
        <w:rPr>
          <w:rFonts w:ascii="楷体_GB2312" w:hAnsi="楷体_GB2312" w:eastAsia="楷体_GB2312"/>
          <w:b w:val="0"/>
          <w:color w:val="000000"/>
          <w:sz w:val="32"/>
        </w:rPr>
        <w:t>（四）合规风险</w:t>
      </w:r>
    </w:p>
    <w:p>
      <w:pPr>
        <w:spacing w:lineRule="exact" w:line="600" w:before="0" w:after="0"/>
        <w:ind w:firstLine="420"/>
        <w:jc w:val="both"/>
      </w:pPr>
      <w:r>
        <w:rPr>
          <w:rFonts w:ascii="仿宋_GB2312" w:hAnsi="仿宋_GB2312" w:eastAsia="仿宋_GB2312"/>
          <w:b w:val="0"/>
          <w:color w:val="000000"/>
          <w:sz w:val="32"/>
        </w:rPr>
        <w:t>天眼查显示企业存在较多天眼风险信息（356条）及涉诉关系（36条）、裁判文书3条，主要为经营类纠纷，但数量偏高，需重点关注食品安全与合同合规。</w:t>
      </w:r>
    </w:p>
    <w:p>
      <w:pPr>
        <w:spacing w:lineRule="exact" w:line="600" w:before="120" w:after="120"/>
        <w:ind w:firstLine="420"/>
        <w:jc w:val="left"/>
      </w:pPr>
      <w:r>
        <w:rPr>
          <w:rFonts w:ascii="楷体_GB2312" w:hAnsi="楷体_GB2312" w:eastAsia="楷体_GB2312"/>
          <w:b w:val="0"/>
          <w:color w:val="000000"/>
          <w:sz w:val="32"/>
        </w:rPr>
        <w:t>（五）企业应对措施</w:t>
      </w:r>
    </w:p>
    <w:p>
      <w:pPr>
        <w:spacing w:lineRule="exact" w:line="600" w:before="0" w:after="0"/>
        <w:ind w:firstLine="420"/>
        <w:jc w:val="both"/>
      </w:pPr>
      <w:r>
        <w:rPr>
          <w:rFonts w:ascii="仿宋_GB2312" w:hAnsi="仿宋_GB2312" w:eastAsia="仿宋_GB2312"/>
          <w:b w:val="0"/>
          <w:color w:val="000000"/>
          <w:sz w:val="32"/>
        </w:rPr>
        <w:t>公司通过持续获取国际认证、拓展产品品类与产业链投资，强化出口合规与抗风险能力。</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作为出口型农业产业化龙头企业，恒宝食品存在流动资金与产能融资需求：一是基于出口应收账款，可开展国际保理；二是针对冷链、生产线设备升级，可提供融资租赁；三是针对农产品原料收购季节性强，可开展供应链金融；四是作为优质外贸企业，可对接小贷支持。</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恒宝食品是莒县绿色食品深加工集群中资质壁垒突出的出口型食品龙头，国际认证齐全、产品矩阵丰富，但财务透明度有限、涉诉风险信息偏多、人员规模口径波动。发展展望：全球冷冻便捷食品需求增长利好出口，公司技术与资质优势可支撑稳健发展。建议：山东投资可在尽职调查与风控（特别关注涉诉与合规）前提下，以国际保理、供应链金融等债权工具切入。</w:t>
      </w:r>
    </w:p>
    <w:p>
      <w:pPr>
        <w:spacing w:lineRule="exact" w:line="600" w:before="0" w:after="0"/>
        <w:jc w:val="left"/>
      </w:pPr>
      <w:r>
        <w:rPr>
          <w:rFonts w:ascii="仿宋_GB2312" w:hAnsi="仿宋_GB2312" w:eastAsia="仿宋_GB2312"/>
          <w:b w:val="0"/>
          <w:color w:val="000000"/>
          <w:sz w:val="28"/>
        </w:rPr>
        <w:t>数据来源说明：本报告中工商信息、股权结构、资质认证、知识产权等来源于天眼查、清科私募通（pedaily）、企知道、11467公开数据；产品与认证信息来源于公开报道与公司披露。财务数据未公开披露，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