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莱西市新能源汽车动力系统特色产业集群</w:t>
      </w:r>
    </w:p>
    <w:p>
      <w:pPr>
        <w:spacing w:lineRule="exact" w:line="600" w:before="240" w:after="240"/>
        <w:ind w:firstLine="0"/>
        <w:jc w:val="center"/>
      </w:pPr>
      <w:r>
        <w:rPr>
          <w:rFonts w:ascii="方正小标宋简体" w:hAnsi="方正小标宋简体" w:eastAsia="方正小标宋简体"/>
          <w:b w:val="0"/>
          <w:color w:val="000000"/>
          <w:sz w:val="44"/>
        </w:rPr>
        <w:t>北京汽车制造厂有限公司（莱西基地）企业分析报告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北京汽车制造厂有限公司始建于1951年，是中国汽车工业先驱之一；2020年全面资本重组合落户青岛，投资152亿元打造青岛总部基地（莱西基地），2022年1月建成投产。莱西基地注册/生产地址位于山东省青岛市莱西市盛达路17号（一说九龙街道/姜山镇基地），法定代表人为企业负责人，总经理/总裁赵涛。公司具备轿车、越野车、货车、轻型客车、改装车及军车全资质，是山东省唯一拥有全品类整车制造资质的总部汽车企业。注：公司为非上市民营企业，详细工商登记（注册资本、统一社会信用代码）以国家企业信用信息公示系统"北京汽车制造厂有限公司"为准，本报告以公开报道口径撰写。</w:t>
      </w:r>
    </w:p>
    <w:p>
      <w:pPr>
        <w:spacing w:lineRule="exact" w:line="600" w:before="0" w:after="0"/>
        <w:ind w:firstLine="420"/>
        <w:jc w:val="both"/>
      </w:pPr>
      <w:r>
        <w:rPr>
          <w:rFonts w:ascii="仿宋_GB2312" w:hAnsi="仿宋_GB2312" w:eastAsia="仿宋_GB2312"/>
          <w:b w:val="0"/>
          <w:color w:val="000000"/>
          <w:sz w:val="32"/>
        </w:rPr>
        <w:t>股权结构：2023年，铝业巨头山东魏桥创业集团有限公司（世界500强、山东省属代表性民营企业，张士平家族控制）通过收购富路集团股权实现对北京汽车制造厂的控股，北汽制造成为魏桥新能源汽车事业的核心业务板块；穿透后为魏桥创业集团控制的民营整车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青岛总部基地（莱西）及黄骅、德州、临沂共四大生产基地，青岛基地为整车制造总部，含冲压、焊装、涂装、总装四大车间及研究院、行政楼；同步建成发动机、车桥、车架等核心零部件工厂，形成"整车+核心零部件"一体化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1951年建厂，旗下212越野车累计产销200万辆；2020年资本重组合落户青岛、投资152亿建总部基地，2022年1月投产；2023年魏桥创业集团控股，依托其全铝产业链向"轻量化、绿色化、智能化"转型；212品牌焕新推出T01（基于WY自研专业越野平台），锐胜王牌MPV登顶兼用车型细分市场销量冠军，并代工极石01等新能源车型。</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山东省唯一、青岛首家具备全资质（越野车、轿车、货车、轻客、改装车、军车）的整车制造总部企业，莱西新能源汽车动力系统集群链主企业。主营业务为汽车整车、动力总成及关键零部件的设计、研发、生产、销售和服务，产品涵盖212越野车、锐胜王牌MPV、极石01/极石汽车（代工）等，出口欧洲、中东等近30个国家。</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整车制造为核心，产品涵盖越野车（212系列）、乘用车（锐胜MPV、极石SUV）、商用车及军车/改装车；2025年前三季度整车产量3.7万辆，规划莱西基地产能约30万辆、四大基地合计年产能45万辆（其中新能源20万辆）。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主导产品：全新212 T01（基于WY自研兼容新能源/混动的前后硬桥专业越野平台）、锐胜王牌MPV、极石01新能源SUV（代工）等；覆盖传统能源与新能源多条产品线，并向中高端新能源车型导入。</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212品牌全国构建130多家销售网络、服务网络覆盖157个城市（规划200家体验店、400家服务网络）；产品出口欧洲、中东等近30个国家；依托魏桥全铝产业链与品牌历史，面向越野、商用及新能源消费群体。</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为钢材、铝材、动力电池、电驱、零部件等；魏桥创业集团提供从"能源—氧化铝—原铝—铝精深加工—再生铝"完整全铝产业链，在轻量化材料成本上具备独特优势，并牵引周边46家零部件企业协同。</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莱西总部基地占地1,700亩（青岛基地一说800亩/36万㎡）、建设面积60万㎡，四大工艺自动化率90%—93%；具备全资质整车制造能力，四大基地合计年产能45万辆（新能源20万辆），莱西规划约30万辆。2025年前三季度整车产量3.7万辆，2026年冲刺7万辆目标。</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采用"直营+经销商+出口"模式，212品牌体验店与服务体系全国布局，并开拓欧洲、中东等海外市场；构建税务内控体系支撑出口合规。</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魏桥集团非上市），财务数据未公开披露，无公开营收、利润及市占率数据。公开报道：莱西基地规划产能约30万辆、当前产能利用率约20%；2025年前三季度整车产量3.7万辆、212单月销量1,500—1,600辆（前11个月累计近1.5万辆），硬派越野赛道快速增长（2024年细分市场同比+110.1%）。</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北京汽车制造厂有限公司（含莱西基地）为非上市民营企业（魏桥创业集团控股），近三年财务报表未公开披露；以下仅列公开产能与产量信息，不作财务数据编造。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总部基地投资</w:t>
            </w:r>
          </w:p>
        </w:tc>
        <w:tc>
          <w:tcPr>
            <w:tcW w:type="dxa" w:w="6236"/>
          </w:tcPr>
          <w:p>
            <w:pPr>
              <w:spacing w:lineRule="exact" w:line="600"/>
              <w:jc w:val="center"/>
            </w:pPr>
            <w:r/>
            <w:r>
              <w:rPr>
                <w:rFonts w:ascii="仿宋_GB2312" w:hAnsi="仿宋_GB2312" w:eastAsia="仿宋_GB2312"/>
                <w:b w:val="0"/>
                <w:color w:val="000000"/>
                <w:sz w:val="32"/>
              </w:rPr>
              <w:t>152亿元</w:t>
            </w:r>
          </w:p>
        </w:tc>
      </w:tr>
      <w:tr>
        <w:tc>
          <w:tcPr>
            <w:tcW w:type="dxa" w:w="2551"/>
          </w:tcPr>
          <w:p>
            <w:pPr>
              <w:spacing w:lineRule="exact" w:line="600"/>
              <w:jc w:val="center"/>
            </w:pPr>
            <w:r/>
            <w:r>
              <w:rPr>
                <w:rFonts w:ascii="仿宋_GB2312" w:hAnsi="仿宋_GB2312" w:eastAsia="仿宋_GB2312"/>
                <w:b w:val="0"/>
                <w:color w:val="000000"/>
                <w:sz w:val="32"/>
              </w:rPr>
              <w:t>莱西基地占地</w:t>
            </w:r>
          </w:p>
        </w:tc>
        <w:tc>
          <w:tcPr>
            <w:tcW w:type="dxa" w:w="6236"/>
          </w:tcPr>
          <w:p>
            <w:pPr>
              <w:spacing w:lineRule="exact" w:line="600"/>
              <w:jc w:val="center"/>
            </w:pPr>
            <w:r/>
            <w:r>
              <w:rPr>
                <w:rFonts w:ascii="仿宋_GB2312" w:hAnsi="仿宋_GB2312" w:eastAsia="仿宋_GB2312"/>
                <w:b w:val="0"/>
                <w:color w:val="000000"/>
                <w:sz w:val="32"/>
              </w:rPr>
              <w:t>约1,700亩（一说800亩/36万㎡）</w:t>
            </w:r>
          </w:p>
        </w:tc>
      </w:tr>
      <w:tr>
        <w:tc>
          <w:tcPr>
            <w:tcW w:type="dxa" w:w="2551"/>
          </w:tcPr>
          <w:p>
            <w:pPr>
              <w:spacing w:lineRule="exact" w:line="600"/>
              <w:jc w:val="center"/>
            </w:pPr>
            <w:r/>
            <w:r>
              <w:rPr>
                <w:rFonts w:ascii="仿宋_GB2312" w:hAnsi="仿宋_GB2312" w:eastAsia="仿宋_GB2312"/>
                <w:b w:val="0"/>
                <w:color w:val="000000"/>
                <w:sz w:val="32"/>
              </w:rPr>
              <w:t>规划产能</w:t>
            </w:r>
          </w:p>
        </w:tc>
        <w:tc>
          <w:tcPr>
            <w:tcW w:type="dxa" w:w="6236"/>
          </w:tcPr>
          <w:p>
            <w:pPr>
              <w:spacing w:lineRule="exact" w:line="600"/>
              <w:jc w:val="center"/>
            </w:pPr>
            <w:r/>
            <w:r>
              <w:rPr>
                <w:rFonts w:ascii="仿宋_GB2312" w:hAnsi="仿宋_GB2312" w:eastAsia="仿宋_GB2312"/>
                <w:b w:val="0"/>
                <w:color w:val="000000"/>
                <w:sz w:val="32"/>
              </w:rPr>
              <w:t>莱西约30万辆；四大基地合计45万辆（新能源20万辆）</w:t>
            </w:r>
          </w:p>
        </w:tc>
      </w:tr>
      <w:tr>
        <w:tc>
          <w:tcPr>
            <w:tcW w:type="dxa" w:w="2551"/>
          </w:tcPr>
          <w:p>
            <w:pPr>
              <w:spacing w:lineRule="exact" w:line="600"/>
              <w:jc w:val="center"/>
            </w:pPr>
            <w:r/>
            <w:r>
              <w:rPr>
                <w:rFonts w:ascii="仿宋_GB2312" w:hAnsi="仿宋_GB2312" w:eastAsia="仿宋_GB2312"/>
                <w:b w:val="0"/>
                <w:color w:val="000000"/>
                <w:sz w:val="32"/>
              </w:rPr>
              <w:t>2025前三季度产量</w:t>
            </w:r>
          </w:p>
        </w:tc>
        <w:tc>
          <w:tcPr>
            <w:tcW w:type="dxa" w:w="6236"/>
          </w:tcPr>
          <w:p>
            <w:pPr>
              <w:spacing w:lineRule="exact" w:line="600"/>
              <w:jc w:val="center"/>
            </w:pPr>
            <w:r/>
            <w:r>
              <w:rPr>
                <w:rFonts w:ascii="仿宋_GB2312" w:hAnsi="仿宋_GB2312" w:eastAsia="仿宋_GB2312"/>
                <w:b w:val="0"/>
                <w:color w:val="000000"/>
                <w:sz w:val="32"/>
              </w:rPr>
              <w:t>3.7万辆</w:t>
            </w:r>
          </w:p>
        </w:tc>
      </w:tr>
      <w:tr>
        <w:tc>
          <w:tcPr>
            <w:tcW w:type="dxa" w:w="2551"/>
          </w:tcPr>
          <w:p>
            <w:pPr>
              <w:spacing w:lineRule="exact" w:line="600"/>
              <w:jc w:val="center"/>
            </w:pPr>
            <w:r/>
            <w:r>
              <w:rPr>
                <w:rFonts w:ascii="仿宋_GB2312" w:hAnsi="仿宋_GB2312" w:eastAsia="仿宋_GB2312"/>
                <w:b w:val="0"/>
                <w:color w:val="000000"/>
                <w:sz w:val="32"/>
              </w:rPr>
              <w:t>2026目标产量</w:t>
            </w:r>
          </w:p>
        </w:tc>
        <w:tc>
          <w:tcPr>
            <w:tcW w:type="dxa" w:w="6236"/>
          </w:tcPr>
          <w:p>
            <w:pPr>
              <w:spacing w:lineRule="exact" w:line="600"/>
              <w:jc w:val="center"/>
            </w:pPr>
            <w:r/>
            <w:r>
              <w:rPr>
                <w:rFonts w:ascii="仿宋_GB2312" w:hAnsi="仿宋_GB2312" w:eastAsia="仿宋_GB2312"/>
                <w:b w:val="0"/>
                <w:color w:val="000000"/>
                <w:sz w:val="32"/>
              </w:rPr>
              <w:t>7万辆</w:t>
            </w:r>
          </w:p>
        </w:tc>
      </w:tr>
      <w:tr>
        <w:tc>
          <w:tcPr>
            <w:tcW w:type="dxa" w:w="2551"/>
          </w:tcPr>
          <w:p>
            <w:pPr>
              <w:spacing w:lineRule="exact" w:line="600"/>
              <w:jc w:val="center"/>
            </w:pPr>
            <w:r/>
            <w:r>
              <w:rPr>
                <w:rFonts w:ascii="仿宋_GB2312" w:hAnsi="仿宋_GB2312" w:eastAsia="仿宋_GB2312"/>
                <w:b w:val="0"/>
                <w:color w:val="000000"/>
                <w:sz w:val="32"/>
              </w:rPr>
              <w:t>产能利用率</w:t>
            </w:r>
          </w:p>
        </w:tc>
        <w:tc>
          <w:tcPr>
            <w:tcW w:type="dxa" w:w="6236"/>
          </w:tcPr>
          <w:p>
            <w:pPr>
              <w:spacing w:lineRule="exact" w:line="600"/>
              <w:jc w:val="center"/>
            </w:pPr>
            <w:r/>
            <w:r>
              <w:rPr>
                <w:rFonts w:ascii="仿宋_GB2312" w:hAnsi="仿宋_GB2312" w:eastAsia="仿宋_GB2312"/>
                <w:b w:val="0"/>
                <w:color w:val="000000"/>
                <w:sz w:val="32"/>
              </w:rPr>
              <w:t>约20%（公开报道）</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财务数据未公开披露。整车制造前期投入大、固定成本高，当前产能利用率约20%，盈利承压；需销量爬坡与产品结构（中高端新能源）优化改善。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无公开资产数据。重资产属性下固定资产（四大工艺产线、厂房）占比极高，与152亿投资匹配。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无公开负债数据。152亿基地建设资本开支大，依赖魏桥集团资金支持；建议授信前核查集团信用与项目融资结构。</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无公开现金流数据。产能爬坡期经营现金流与资本开支平衡是关键，需关注销量兑现节奏。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与国内整车企业相比，北汽制造体量尚小、产能利用率偏低（约20%），但具全资质、魏桥全铝产业链与212品牌情怀稀缺性；硬派越野赛道扩容（2030年市占率有望破13%）提供差异化机会。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民营整车企业，魏桥创业集团控股后纳入其新能源板块管理体系；设总裁（赵涛）及经营管理层，作为莱西集群链主企业，承担产业链牵引职责。</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总裁赵涛（公开代表，介绍产量与产品规划）；精益管理部部长杨文哲；财务负责人姜建（主导税务内控）。核心管理来自魏桥体系与北汽制造原有团队。</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建立覆盖全流程的涉税内控体系（财务中心牵头、税务专员与业务骨干组成风控小组），强化出口退税与国际税收合规；四大工艺自动化率高，生产内控较规范。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莱西总部基地员工规模以生产、研发为主；依托魏桥集团人力资源体系，具体人数未公开披露。</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全资质与品牌：山东省唯一全品类整车制造资质总部企业，212越野车民族品牌情怀（累计200万辆）。二是股东资源：魏桥创业集团（世界500强）完整全铝产业链，行业唯一掌握"材料—零部件—整车"全铝生态，轻量化成本优势独特。三是链主地位：莱西新能源汽车动力系统集群链主，牵引46家零部件企业，本地配套闭环。四是产品矩阵：212 T01、锐胜MPV、极石01覆盖越野/商用/新能源。五是出口基础：产品进入近30国，具备国际化经营与税务合规体系。</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产能利用率风险（重点）：规划约30万辆、当前利用率约20%，固定成本摊销压力大；应对为销量爬坡与产品导入。二是市场竞争风险：硬派越野与新能源赛道竞争加剧（BJ40、坦克300等），212需以差异化与品牌突围。三是资金需求风险：152亿投资资本开支大，依赖集团输血，独立融资能力弱。四是供应链风险：动力电池、芯片等对外采购，受上游与地缘影响。五是合规风险：出口业务涉税与贸易合规要求高，须持续强化内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经销商的整车应收账款可开展保理。供应链金融：作为链主，为上游46家零部件配套企业（冲压件、座椅、线束、电池密封等）提供订单与存货融资，服务链条中小企业。融资租赁：设备及产线升级（含二期潜在建设）适合直租/回租。小贷：面向中小配套供应商短期周转。鉴于北汽制造为非上市、产能爬坡期，山东投资宜以"链主+链属企业"供应链金融与设备融资租赁切入，绑定本地配套生态，控制主体直融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北汽制造是莱西新能源汽车动力系统集群的链主与山东唯一全资质整车总部，品牌、魏桥全铝产业链与链主地位稀缺，但当前产能利用率偏低（约20%）、资本开支大、财务不透明。发展展望：据行业趋势，硬派越野赛道快速扩容、新能源与出口增长，公司2026年冲刺7万辆，并持续导入中高端新能源车型。建议：一是对接链属零部件企业供应链金融与设备融资租赁；二是以项目现金流与魏桥信用评估主体授信；三是关注销量爬坡、产能利用率与产品竞争力，设置动态监测。</w:t>
      </w:r>
    </w:p>
    <w:p>
      <w:pPr>
        <w:spacing w:lineRule="exact" w:line="600" w:before="0" w:after="0"/>
        <w:jc w:val="left"/>
      </w:pPr>
      <w:r>
        <w:rPr>
          <w:rFonts w:ascii="仿宋_GB2312" w:hAnsi="仿宋_GB2312" w:eastAsia="仿宋_GB2312"/>
          <w:b w:val="0"/>
          <w:color w:val="000000"/>
          <w:sz w:val="28"/>
        </w:rPr>
        <w:t>数据来源说明：时代周报（魏桥青岛基地、产能利用率）、同花顺/半岛网（莱西链主、产量、资质）、青岛政务网（智能网联汽车产值）、今日头条/半岛网（北汽制造品牌、魏桥控股、四大基地）、公开媒体报道（212销量、股权）。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