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莱西市新能源汽车动力系统特色产业集群</w:t>
      </w:r>
    </w:p>
    <w:p>
      <w:pPr>
        <w:spacing w:lineRule="exact" w:line="600" w:before="240" w:after="240"/>
        <w:ind w:firstLine="0"/>
        <w:jc w:val="center"/>
      </w:pPr>
      <w:r>
        <w:rPr>
          <w:rFonts w:ascii="方正小标宋简体" w:hAnsi="方正小标宋简体" w:eastAsia="方正小标宋简体"/>
          <w:b w:val="0"/>
          <w:color w:val="000000"/>
          <w:sz w:val="44"/>
        </w:rPr>
        <w:t>青岛洛唯新材料有限公司（洛维）企业分析报告</w:t>
      </w:r>
    </w:p>
    <w:p>
      <w:pPr>
        <w:spacing w:lineRule="exact" w:line="600" w:before="0" w:after="0"/>
        <w:jc w:val="left"/>
      </w:pPr>
      <w:r>
        <w:rPr>
          <w:rFonts w:ascii="仿宋_GB2312" w:hAnsi="仿宋_GB2312" w:eastAsia="仿宋_GB2312"/>
          <w:b w:val="0"/>
          <w:color w:val="000000"/>
          <w:sz w:val="28"/>
        </w:rPr>
        <w:t>（本报告数据来源于公司年报/半年报、交易所及港交所公告、巨潮资讯网、东方财富、天眼查/爱企查/企查查、公司官网及权威媒体等公开渠道，统计时点截至最新披露信息；非上市企业未公开披露财务数据已如实标注，未作任何编造。报告供山东省投资有限公司业务参考之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青岛洛唯新材料有限公司成立于2018年6月21日，法定代表人刘军德，统一社会信用代码91370285MA3M1KLN4L，企业类型为其他有限责任公司，注册资本23,878.36万元（实缴23,878.36万元），注册地址位于山东省青岛市莱西市南墅镇石墨新材料产业集聚区万福路2号，登记机关为莱西市市场监督管理局，经营状态为存续。人员规模100—499人，参保人数约205人。</w:t>
      </w:r>
    </w:p>
    <w:p>
      <w:pPr>
        <w:spacing w:lineRule="exact" w:line="600" w:before="0" w:after="0"/>
        <w:ind w:firstLine="420"/>
        <w:jc w:val="both"/>
      </w:pPr>
      <w:r>
        <w:rPr>
          <w:rFonts w:ascii="仿宋_GB2312" w:hAnsi="仿宋_GB2312" w:eastAsia="仿宋_GB2312"/>
          <w:b w:val="0"/>
          <w:color w:val="000000"/>
          <w:sz w:val="32"/>
        </w:rPr>
        <w:t>股权结构：青岛特唯石墨科技有限公司持股77.29%、青岛一唯创新创业投资合伙企业（有限合伙）持股18.52%、贝特瑞新材料集团股份有限公司（A股上市公司，中国宝安集团下属，股票代码835185）持股4.19%。公司由碳一新能源集团与贝特瑞共同组建，穿透后为民营控股企业（贝特瑞为重要产业股东），无国有出资人。</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设执行董事兼总经理（高洪国）、经理（刘军德）、监事（李焱雄）；对外投资黑龙江省墨砾新型材料（20%）、青岛优福道科技（36.84%）、青岛洛唯工业设计研究（100%）等，形成"纯化主业+研究院+下游延伸"架构。</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公司2018年6月成立，2019年4月基建，2020年7月试产；由碳一新能源集团与贝特瑞共同组建，专注石墨提纯及高端碳材料。自主研发零排放石墨深加工生产线，成为国内唯一实现生产全过程自动化的企业；一期纯化产能7万吨/年、二期18万吨/年（合计25万吨/年）。持续扩建锂电负极材料产线（年产6万吨锂电池负极材料一期、年产2万吨锂离子电池石墨负极材料项目进入环评受理）。</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企业定位为专业从事石墨提纯及高端碳材料研发、生产和销售的现代化企业，莱西"石墨之乡"负极材料骨干企业。主营业务为球形石墨、高纯石墨、膨胀石墨、微粉石墨、人造石墨、鳞片石墨及石墨制品的加工销售，石墨高新技术研发；产品涵盖天然高纯球形石墨、碱性/铅酸电池粉、导电剂、增碳剂、高纯可膨胀石墨、石墨烯及散热材料等。</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业务以石墨纯化加工为核心（一期7万吨+二期18万吨，合计25万吨/年纯化产能），并向锂电池负极材料（6万吨一期、2万吨石墨负极项目）延伸；公司未公开披露分产品收入占比。</w:t>
      </w:r>
    </w:p>
    <w:p>
      <w:pPr>
        <w:spacing w:lineRule="exact" w:line="600" w:before="120" w:after="120"/>
        <w:ind w:firstLine="420"/>
        <w:jc w:val="left"/>
      </w:pPr>
      <w:r>
        <w:rPr>
          <w:rFonts w:ascii="楷体_GB2312" w:hAnsi="楷体_GB2312" w:eastAsia="楷体_GB2312"/>
          <w:b w:val="0"/>
          <w:color w:val="000000"/>
          <w:sz w:val="32"/>
        </w:rPr>
        <w:t>（二）主要产品与服务</w:t>
      </w:r>
    </w:p>
    <w:p>
      <w:pPr>
        <w:spacing w:lineRule="exact" w:line="600" w:before="0" w:after="0"/>
        <w:ind w:firstLine="420"/>
        <w:jc w:val="both"/>
      </w:pPr>
      <w:r>
        <w:rPr>
          <w:rFonts w:ascii="仿宋_GB2312" w:hAnsi="仿宋_GB2312" w:eastAsia="仿宋_GB2312"/>
          <w:b w:val="0"/>
          <w:color w:val="000000"/>
          <w:sz w:val="32"/>
        </w:rPr>
        <w:t>主导产品：天然高纯球形石墨、高纯可膨胀石墨、碱性锌锰电池粉、铅酸电池专用石墨粉、导电剂、增碳剂、石墨烯及散热材料；新建锂电负极材料产线（天然石墨负极方向）。多项产品具"人无我有、人优我特"差异化。</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作为莱西全国最大天然石墨负极材料供应基地骨干企业，产品稳定配套宁德时代、比亚迪、国轩高科等行业头部企业，成为国内动力电池负极材料核心供应地；客户资质优、黏性强。</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生产所需主要原料为南墅本地鳞片石墨原矿及石墨精矿，依托莱西"石墨之乡"资源禀赋，原料就近保障；酸、碱等化工辅料随行情波动。</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公司位于莱西南墅镇石墨新材料产业集聚区，纯化年产能合计25万吨（一期7万吨+二期18万吨），为国内唯一全过程自动化零排放石墨深加工线；拥有发明专利7项、实用新型专利24项，投资1,000万元建高端品控研发中心，投入8,000万元建行业首家MVR零排车间与废酸纯化车间；与西安交大合作研发。莱西天然石墨负极材料全国市占率超30%。</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采用"技术+大客户"直销模式，深度绑定宁德时代、比亚迪、国轩高科等头部电池企业；以纯化自动化与零排放工艺形成品质与成本优势。</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司为非上市企业，财务数据未公开披露，无公开营收、利润及单体市占率数据。从纯化产能25万吨/年、莱西集群天然石墨负极全国市占率超30%、稳定配套宁德时代/比亚迪/国轩看，其为国内天然石墨负极材料核心供应企业，行业地位突出。</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jc w:val="left"/>
      </w:pPr>
      <w:r>
        <w:rPr>
          <w:rFonts w:ascii="仿宋_GB2312" w:hAnsi="仿宋_GB2312" w:eastAsia="仿宋_GB2312"/>
          <w:b w:val="0"/>
          <w:color w:val="000000"/>
          <w:sz w:val="28"/>
        </w:rPr>
        <w:t>青岛洛唯新材料为非上市企业，近三年财务报表未公开披露，以下仅列公开工商与产能信息，不作财务数据编造。</w:t>
      </w:r>
    </w:p>
    <w:tbl>
      <w:tblPr>
        <w:tblStyle w:val="TableGrid"/>
        <w:tblW w:type="auto" w:w="0"/>
        <w:jc w:val="center"/>
        <w:tblLook w:firstColumn="1" w:firstRow="1" w:lastColumn="0" w:lastRow="0" w:noHBand="0" w:noVBand="1" w:val="04A0"/>
      </w:tblPr>
      <w:tblGrid>
        <w:gridCol w:w="4422"/>
        <w:gridCol w:w="4422"/>
      </w:tblGrid>
      <w:tr>
        <w:tc>
          <w:tcPr>
            <w:tcW w:type="dxa" w:w="2551"/>
          </w:tcPr>
          <w:p>
            <w:pPr>
              <w:spacing w:lineRule="exact" w:line="600"/>
              <w:jc w:val="center"/>
            </w:pPr>
            <w:r/>
            <w:r>
              <w:rPr>
                <w:rFonts w:ascii="黑体" w:hAnsi="黑体" w:eastAsia="黑体"/>
                <w:b/>
                <w:color w:val="000000"/>
                <w:sz w:val="32"/>
              </w:rPr>
              <w:t>指标</w:t>
            </w:r>
          </w:p>
        </w:tc>
        <w:tc>
          <w:tcPr>
            <w:tcW w:type="dxa" w:w="6236"/>
          </w:tcPr>
          <w:p>
            <w:pPr>
              <w:spacing w:lineRule="exact" w:line="600"/>
              <w:jc w:val="center"/>
            </w:pPr>
            <w:r/>
            <w:r>
              <w:rPr>
                <w:rFonts w:ascii="黑体" w:hAnsi="黑体" w:eastAsia="黑体"/>
                <w:b/>
                <w:color w:val="000000"/>
                <w:sz w:val="32"/>
              </w:rPr>
              <w:t>公开披露值</w:t>
            </w:r>
          </w:p>
        </w:tc>
      </w:tr>
      <w:tr>
        <w:tc>
          <w:tcPr>
            <w:tcW w:type="dxa" w:w="2551"/>
          </w:tcPr>
          <w:p>
            <w:pPr>
              <w:spacing w:lineRule="exact" w:line="600"/>
              <w:jc w:val="center"/>
            </w:pPr>
            <w:r/>
            <w:r>
              <w:rPr>
                <w:rFonts w:ascii="仿宋_GB2312" w:hAnsi="仿宋_GB2312" w:eastAsia="仿宋_GB2312"/>
                <w:b w:val="0"/>
                <w:color w:val="000000"/>
                <w:sz w:val="32"/>
              </w:rPr>
              <w:t>注册资本</w:t>
            </w:r>
          </w:p>
        </w:tc>
        <w:tc>
          <w:tcPr>
            <w:tcW w:type="dxa" w:w="6236"/>
          </w:tcPr>
          <w:p>
            <w:pPr>
              <w:spacing w:lineRule="exact" w:line="600"/>
              <w:jc w:val="center"/>
            </w:pPr>
            <w:r/>
            <w:r>
              <w:rPr>
                <w:rFonts w:ascii="仿宋_GB2312" w:hAnsi="仿宋_GB2312" w:eastAsia="仿宋_GB2312"/>
                <w:b w:val="0"/>
                <w:color w:val="000000"/>
                <w:sz w:val="32"/>
              </w:rPr>
              <w:t>23,878.36万元（实缴23,878.36万元）</w:t>
            </w:r>
          </w:p>
        </w:tc>
      </w:tr>
      <w:tr>
        <w:tc>
          <w:tcPr>
            <w:tcW w:type="dxa" w:w="2551"/>
          </w:tcPr>
          <w:p>
            <w:pPr>
              <w:spacing w:lineRule="exact" w:line="600"/>
              <w:jc w:val="center"/>
            </w:pPr>
            <w:r/>
            <w:r>
              <w:rPr>
                <w:rFonts w:ascii="仿宋_GB2312" w:hAnsi="仿宋_GB2312" w:eastAsia="仿宋_GB2312"/>
                <w:b w:val="0"/>
                <w:color w:val="000000"/>
                <w:sz w:val="32"/>
              </w:rPr>
              <w:t>成立时间</w:t>
            </w:r>
          </w:p>
        </w:tc>
        <w:tc>
          <w:tcPr>
            <w:tcW w:type="dxa" w:w="6236"/>
          </w:tcPr>
          <w:p>
            <w:pPr>
              <w:spacing w:lineRule="exact" w:line="600"/>
              <w:jc w:val="center"/>
            </w:pPr>
            <w:r/>
            <w:r>
              <w:rPr>
                <w:rFonts w:ascii="仿宋_GB2312" w:hAnsi="仿宋_GB2312" w:eastAsia="仿宋_GB2312"/>
                <w:b w:val="0"/>
                <w:color w:val="000000"/>
                <w:sz w:val="32"/>
              </w:rPr>
              <w:t>2018-06-21</w:t>
            </w:r>
          </w:p>
        </w:tc>
      </w:tr>
      <w:tr>
        <w:tc>
          <w:tcPr>
            <w:tcW w:type="dxa" w:w="2551"/>
          </w:tcPr>
          <w:p>
            <w:pPr>
              <w:spacing w:lineRule="exact" w:line="600"/>
              <w:jc w:val="center"/>
            </w:pPr>
            <w:r/>
            <w:r>
              <w:rPr>
                <w:rFonts w:ascii="仿宋_GB2312" w:hAnsi="仿宋_GB2312" w:eastAsia="仿宋_GB2312"/>
                <w:b w:val="0"/>
                <w:color w:val="000000"/>
                <w:sz w:val="32"/>
              </w:rPr>
              <w:t>控股股东</w:t>
            </w:r>
          </w:p>
        </w:tc>
        <w:tc>
          <w:tcPr>
            <w:tcW w:type="dxa" w:w="6236"/>
          </w:tcPr>
          <w:p>
            <w:pPr>
              <w:spacing w:lineRule="exact" w:line="600"/>
              <w:jc w:val="center"/>
            </w:pPr>
            <w:r/>
            <w:r>
              <w:rPr>
                <w:rFonts w:ascii="仿宋_GB2312" w:hAnsi="仿宋_GB2312" w:eastAsia="仿宋_GB2312"/>
                <w:b w:val="0"/>
                <w:color w:val="000000"/>
                <w:sz w:val="32"/>
              </w:rPr>
              <w:t>青岛特唯石墨科技（77.29%）</w:t>
            </w:r>
          </w:p>
        </w:tc>
      </w:tr>
      <w:tr>
        <w:tc>
          <w:tcPr>
            <w:tcW w:type="dxa" w:w="2551"/>
          </w:tcPr>
          <w:p>
            <w:pPr>
              <w:spacing w:lineRule="exact" w:line="600"/>
              <w:jc w:val="center"/>
            </w:pPr>
            <w:r/>
            <w:r>
              <w:rPr>
                <w:rFonts w:ascii="仿宋_GB2312" w:hAnsi="仿宋_GB2312" w:eastAsia="仿宋_GB2312"/>
                <w:b w:val="0"/>
                <w:color w:val="000000"/>
                <w:sz w:val="32"/>
              </w:rPr>
              <w:t>产业股东</w:t>
            </w:r>
          </w:p>
        </w:tc>
        <w:tc>
          <w:tcPr>
            <w:tcW w:type="dxa" w:w="6236"/>
          </w:tcPr>
          <w:p>
            <w:pPr>
              <w:spacing w:lineRule="exact" w:line="600"/>
              <w:jc w:val="center"/>
            </w:pPr>
            <w:r/>
            <w:r>
              <w:rPr>
                <w:rFonts w:ascii="仿宋_GB2312" w:hAnsi="仿宋_GB2312" w:eastAsia="仿宋_GB2312"/>
                <w:b w:val="0"/>
                <w:color w:val="000000"/>
                <w:sz w:val="32"/>
              </w:rPr>
              <w:t>贝特瑞新材料集团（835185，4.19%）</w:t>
            </w:r>
          </w:p>
        </w:tc>
      </w:tr>
      <w:tr>
        <w:tc>
          <w:tcPr>
            <w:tcW w:type="dxa" w:w="2551"/>
          </w:tcPr>
          <w:p>
            <w:pPr>
              <w:spacing w:lineRule="exact" w:line="600"/>
              <w:jc w:val="center"/>
            </w:pPr>
            <w:r/>
            <w:r>
              <w:rPr>
                <w:rFonts w:ascii="仿宋_GB2312" w:hAnsi="仿宋_GB2312" w:eastAsia="仿宋_GB2312"/>
                <w:b w:val="0"/>
                <w:color w:val="000000"/>
                <w:sz w:val="32"/>
              </w:rPr>
              <w:t>纯化产能</w:t>
            </w:r>
          </w:p>
        </w:tc>
        <w:tc>
          <w:tcPr>
            <w:tcW w:type="dxa" w:w="6236"/>
          </w:tcPr>
          <w:p>
            <w:pPr>
              <w:spacing w:lineRule="exact" w:line="600"/>
              <w:jc w:val="center"/>
            </w:pPr>
            <w:r/>
            <w:r>
              <w:rPr>
                <w:rFonts w:ascii="仿宋_GB2312" w:hAnsi="仿宋_GB2312" w:eastAsia="仿宋_GB2312"/>
                <w:b w:val="0"/>
                <w:color w:val="000000"/>
                <w:sz w:val="32"/>
              </w:rPr>
              <w:t>25万吨/年（一期7万+二期18万）</w:t>
            </w:r>
          </w:p>
        </w:tc>
      </w:tr>
      <w:tr>
        <w:tc>
          <w:tcPr>
            <w:tcW w:type="dxa" w:w="2551"/>
          </w:tcPr>
          <w:p>
            <w:pPr>
              <w:spacing w:lineRule="exact" w:line="600"/>
              <w:jc w:val="center"/>
            </w:pPr>
            <w:r/>
            <w:r>
              <w:rPr>
                <w:rFonts w:ascii="仿宋_GB2312" w:hAnsi="仿宋_GB2312" w:eastAsia="仿宋_GB2312"/>
                <w:b w:val="0"/>
                <w:color w:val="000000"/>
                <w:sz w:val="32"/>
              </w:rPr>
              <w:t>营收/利润</w:t>
            </w:r>
          </w:p>
        </w:tc>
        <w:tc>
          <w:tcPr>
            <w:tcW w:type="dxa" w:w="6236"/>
          </w:tcPr>
          <w:p>
            <w:pPr>
              <w:spacing w:lineRule="exact" w:line="600"/>
              <w:jc w:val="center"/>
            </w:pPr>
            <w:r/>
            <w:r>
              <w:rPr>
                <w:rFonts w:ascii="仿宋_GB2312" w:hAnsi="仿宋_GB2312" w:eastAsia="仿宋_GB2312"/>
                <w:b w:val="0"/>
                <w:color w:val="000000"/>
                <w:sz w:val="32"/>
              </w:rPr>
              <w:t>未公开披露</w:t>
            </w:r>
          </w:p>
        </w:tc>
      </w:tr>
    </w:tbl>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财务数据未公开披露。石墨提纯加工毛利受原矿、酸碱成本与负极材料价格波动影响；高纯球形石墨与负极材料附加值较高。</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无公开资产数据。重资产属性下固定资产（纯化线、MVR零排车间、研发中心）占比较高，与25万吨产能匹配。</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无公开负债数据。扩产（锂电负极材料项目）带来资本开支，建议授信前核查有息负债与股东支持。</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无公开现金流数据。扩产期资本开支与原料采购对营运资金占用较大，需关注现金流平衡。</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与国内石墨负极企业相比，洛维以"25万吨纯化产能+全过程自动化零排放+贝特瑞产业股东"形成稀缺壁垒，依托莱西全国最大天然石墨负极基地（市占率超30%）具集群与资源协同优势。</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其他有限责任公司，设执行董事兼总经理（高洪国）、经理（刘军德）、监事（李焱雄）；重大事项由控股股东特唯石墨及产业股东贝特瑞协商，治理简洁。</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法定代表人、经理刘军德；执行董事兼总经理高洪国（受益所有人）；监事李焱雄。管理团队兼具产业与投资背景。</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建有高端品控研发中心与完善质量体系，通过ICP、扫描电镜等检测设备全流程监控；投入8,000万建MVR零排车间，环保内控严格；作为石墨加工企业须符合安全环保监管。</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参保约205人，以技术与生产人员为主；研发下属化验室员工持证上岗，与西安交大产学研合作弥补高端研发。</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资源与产能壁垒：依托莱西"石墨之乡"资源禀赋，纯化产能25万吨/年，为国内唯一全过程自动化零排放石墨深加工线。二是产业股东：贝特瑞（负极材料全球领先、中国宝安下属）为重要股东，技术与市场协同。三是客户壁垒：稳定配套宁德时代、比亚迪、国轩高科等头部，市占率优势显著（莱西集群天然石墨负极全国超30%）。四是环保与技术：MVR零排车间、废酸纯化，发明专利7项、实用新型24项，绿色发展标杆。五是集群地位：莱西全国最大天然石墨负极材料供应基地骨干，政策与产业链协同突出。</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一是行业周期风险：石墨负极价格随锂电产业链（碳酸锂等）周期波动，影响盈利；应对为产品升级与成本管控。二是环保风险（重点）：石墨提纯涉及酸/碱与废水，须持续零排放投入，公开信息显示公司存在一定开庭公告与涉诉记录，需强化合规。三是客户集中风险：收入依赖少数头部电池企业，订单波动影响大。四是扩产风险：锂电负极材料新项目资本开支大，存在产能消化不确定性。五是原料与贸易风险：出口占比与石墨原料供给受政策影响。</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保理业务：对宁德时代、比亚迪、国轩高科等头部客户的应收账款账期较长，可开展保理融资。供应链金融：围绕核心客户做订单融资、票据贴现。融资租赁：25万吨纯化线及锂电负极材料新项目设备（MVR、纯化炉等）适合直租/回租，是重点切入方向。小贷：面向临时周转。鉴于企业产能稀缺、头部客户背书、贝特瑞产业股东支撑，是优质重点客户，建议以"设备融资租赁+核心客户应收保理"组合切入，并关注环保合规与扩产进度。</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洛唯新材料是莱西新能源汽车动力系统集群、全国最大天然石墨负极材料供应基地的骨干企业，资源、产能（25万吨纯化）、自动化零排放工艺与头部客户（宁德/比亚迪/国轩）壁垒突出，贝特瑞产业股东赋能；但非上市财务不透明、存在环保涉诉记录、扩产与周期风险并存。发展展望：据行业趋势与政策，莱西集群向"动力+储能"双场景适配，天然石墨负极需求增长，公司锂电负极材料新项目达产后成长空间较大。建议：一是对接纯化/负极设备融资租赁与核心客户应收保理；二是将环保合规作为授信前提与持续监测项；三是授信前补充规范财务资料并设增信。</w:t>
      </w:r>
    </w:p>
    <w:p>
      <w:pPr>
        <w:spacing w:lineRule="exact" w:line="600" w:before="0" w:after="0"/>
        <w:jc w:val="left"/>
      </w:pPr>
      <w:r>
        <w:rPr>
          <w:rFonts w:ascii="仿宋_GB2312" w:hAnsi="仿宋_GB2312" w:eastAsia="仿宋_GB2312"/>
          <w:b w:val="0"/>
          <w:color w:val="000000"/>
          <w:sz w:val="28"/>
        </w:rPr>
        <w:t>数据来源说明：天眼查/爱企查/企查查（工商、股权、专利、涉诉）、公司官网 luoweinm.com（产能、产品、零排工艺）、青岛早报/观海新闻（莱西全国最大天然石墨负极基地、市占率超30%、配套宁德/比亚迪/国轩）、今日头条/青报经济述评（负极材料新项目环评）、公开行业报道。财务数据未公开披露，已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