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莱西市绿色健康食品特色产业集群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青岛九联集团股份有限公司企业分析报告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爱企查、大众人力资源、东方财富/媒体报道等公开渠道，统计时点截至2025年披露信息。九联集团为非上市股份有限公司（自然人投资或控股），未公开披露经审计财务报表，本报告采用其公开披露的销售收入等经营数据，并据实标注未披露项；同时如实列示其2026年商票逾期与出口资质暂停等风险事件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九联集团股份有限公司成立于1998年6月30日（前身可追溯至1988年莱西庄扶村养鸡场、曾用名青岛金鸡养殖有限公司），统一社会信用代码91370200164055438W，法定代表人王秀尊，注册资本10000万元人民币，企业类型为股份有限公司（非上市、自然人投资或控股），登记机关青岛市市场监督管理局，经营状态存续。注册地址为山东省青岛莱西市上海西路，所属行业畜牧业（鸡的饲养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公司对外投资25家企业、设22处分支机构；2025年年报参保人数1776人，集团员工近10000人。实际控制人为王氏家族（自然人控股），系国家级农业产业化重点龙头企业。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"种禽繁育—肉鸡养殖—饲料生产—屠宰冷藏—熟食加工—出口贸易"一条龙产业化集团，总部位于莱西，在广西钦州、广东兴宁设分公司，共有183个生产企业（莱西、平度下设138个）。2025年1月高管变更：王秀尊任董事长兼总经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1988年从村办养鸡场起步，1994年转向肉鸡养殖并完成股份制改造，1998年组建集团；逐步发展为肉鸡全产业链龙头，连续多年对日、对欧出口领先。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定位为国家级大型肉食鸡专业化一条龙生产企业。主营：种禽繁育、肉鸡养殖、饲料生产、屠宰冷藏、熟食制品加工、印刷包装、出口贸易；产品含生鲜/冷冻/调理鸡产品、预制菜等。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收入以肉鸡全产业链（养殖—屠宰—熟食—出口）为主。2023年完成销售收入136亿元，出口1.3亿美元，出口鸡肉产品近5万吨；连续16年对日、对欧出口量领先。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核心：生鲜/冷冻鸡肉、调理鸡产品、预制菜、熟食制品；下游涵盖麦当劳等快餐连锁战略客户。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客户含国际快餐连锁（媒体报道麦当劳为战略客户）、日欧出口商、国内商超与电商；出口占比高，对日欧渠道黏性强。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（四）供应商与采购、（五）产能/资源/牌照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自繁自养+合同养殖户模式；拥有饲料、屠宰、熟食全牌照；183个生产企业支撑产能。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（六）销售与渠道、（七）经营数据与市场占有率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出口+内销双轮；2023年营收136亿元，出口鸡肉近5万吨，对日欧出口长期领先。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九联集团为非上市股份公司，未公开披露经审计财务报表。可查证经营数据：2023年销售收入136亿元、出口1.3亿美元、出口鸡肉近5万吨；更早年度（如2021年前后）亦有百亿级营收公开报道。具体资产负债表、利润表、现金流量表无法从公开渠道取得，本报告不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（二）盈利分析、（三）资产质量、（四）负债与偿债、（五）现金流分析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营收规模超百亿元，但作为非上市企业盈利与负债细项未公开；需关注其2026年出现的商票逾期事件（见风险分析）。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与同业（圣农、仙坛等上市禽企）比，九联营收体量居前，但财务透明度低、近期信用事件值得关注。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非上市股份公司，设董事会、监事会；2025年高管调整，王秀尊任董事长兼总经理。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董事长兼总经理王秀尊，王氏家族控股；核心团队深耕肉鸡产业。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（三）组织与内控、（四）人力资源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员工近10000人，含养殖、屠宰、加工、出口体系；内控接受农业农村与海关监管。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一是全产业链：种禽—饲料—养殖—屠宰—熟食一条龙，成本与品控可控；二是出口壁垒：对日欧16年领先，认证与渠道壁垒高；三是规模：183个生产企业、年营收超百亿；四是客户：国际快餐连锁战略绑定。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品安全与合规风险（重点）：2026年5月俄罗斯因禽肉检出禽流感病毒及抗生素残留，暂停九联对俄出口兽医认证资质；公司历史上亦曾多次因食安问题被处罚（公开信息显示累计行政处罚53次）。信用风险：2026年7月公司3000万元电子商票逾期（已结清），近5年累计商票逾期发生额5850万元，反映阶段性流动性与票据管理压力。行业风险：禽价与疫情波动。应对措施：强化质量管理与合规、优化票据与现金流管理、客户与市场的多元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百亿级农业龙头，融资需求明确：一是供应链金融——为合同养殖户、饲料/设备供应商提供保理与订单融资；二是小贷/应急贷——应对票据周转季节性压力；三是融资租赁——屠宰与熟食产线设备升级。建议以"养殖户供应链金融+设备租赁"切入，并审慎评估信用事件后的授信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九联集团是莱西肉鸡加工龙头与出口标杆，全产业链与对日欧渠道构成壁垒，但2026年食安与票据事件暴露合规与流动性短板。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展望：若强化质量合规与现金流管理，出口与内销仍具空间；建议山东投资在风险可控前提下以供应链金融服务其产业链。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建议：将质量合规与票据信用作为授信前置条件，优先开展养殖户保理与设备租赁。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本报告数据来源于：天眼查/爱企查（九联集团工商、股权、风险）、大众人力资源公司简介（2023年营收136亿）、东方财富/媒体报道（2026年商票逾期与对俄出口资质暂停）等公开信息。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