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莱阳市绿色食品产业集群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山东龙大美食股份有限公司企业分析报告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（本报告数据来源于龙大美食2021—2023年年度报告、东方财富/同花顺/搜狐财经公开数据。统计时点截至2023年年报。股票代码002726.SZ，深圳证券交易所主板上市。）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大美食股份有限公司（曾用名山东龙大肉食品股份有限公司）为深圳证券交易所主板上市公司，股票代码002726.SZ。公司注册地址位于山东省莱阳市，法定代表人为余宇，总经理王豪杰。主营业务为食品（预制食品、熟食）、屠宰及养殖业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股权结构：公司原控股股东为龙大集团（民营），2023—2024年因业绩承压、债务压力，股权结构发生调整（后由地方国资基石投资等接手，具体以最新公告为准）。属民营控股、后引入外部股东的肉食品企业。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公司下设屠宰、食品（预制菜/熟食）、养殖等板块，拥有鲜冻肉、预制食品、熟食制品业务线及多家子公司，覆盖“种猪繁育—饲料—养殖—屠宰—加工—销售”环节。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公司长期为综合性肉食品加工企业，2021年受猪周期与减值影响巨亏；2022年扭亏微利；2023年受猪价持续下跌及减值计提再度大幅亏损。近年战略聚焦预制食品，收缩贸易业务。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定位为“肉食品+预制菜”企业，主营鲜冻肉、预制食品、熟食制品的研发、生产与销售，以及生猪养殖与屠宰。预制食品为战略重心。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133.18亿元：鲜冻肉（屠宰）收入约96.31亿元（占比72.32%），预制食品收入约19.84亿元（占比14.90%，同比+50.94%），进口贸易收入约11.23亿元（占比8.43%），熟食制品约1.70亿元。屠宰仍为主力，预制食品增长亮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鲜冻肉、预制食品（料理包、半成品菜等）、熟食制品（酱卤等）。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前五大客户销售金额10.26亿元，占比7.70%，客户较分散；含商超、餐饮、电商及B端食品工业。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前五大供应商采购39.20亿元，占比29.77%；主要为生猪与原料采购，原料价格受猪周期主导。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具备屠宰、食品生产、生猪养殖完整资质与产能；员工5914人（2023年末）。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渠道覆盖经销商、商超、电商、餐饮及熟食连锁，预制菜为新增长极。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2023年营收133.18亿元（同比-17.36%），归母净亏损15.38亿元；屠宰业务受猪价拖累毛利率-2.21%，预制食品毛利率9.72%。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195.10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161.16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133.18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-6.59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-15.38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约-?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约4.0%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-1.58%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56.08%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73.77%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9.41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-5.89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2023年受猪价下跌、疫病及存货/生物资产减值影响，营收降17.36%、归母净利亏损15.38亿元，毛利率-1.58%、净利率-11.14%，盈利大幅恶化；但预制食品收入增50.94%、毛利率9.72%，为亮点。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资产以存货（鲜冻肉、生物资产）、应收及固定资产为主；2023年对存货及生物资产计提大额减值，资产质量承压。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2023年末资产负债率73.77%（同比+17.69pct），短期借款占总资产29.36%，长期借款占5.16%，偿债压力显著上升。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2023年经营现金流净额-5.89亿元（同比-15.30亿元），由正转负，叠加投资与筹资波动，流动性偏紧。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对标双汇发展、龙大美食等，公司规模居前但2023年盈利与偿债弱于龙头；预制菜增速优于同业，为转型看点。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上市公司治理结构，设董事会、监事会；2023年后股权调整引入新股东，治理持续改善。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董事长余宇、总经理王豪杰，具食品产业背景。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建立内控制度与食品安全体系，上市公司信息披露规范。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2023年末员工5914人，人均创收225.20万元、人均创利-26.01万元。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一是全产业链（养殖—屠宰—加工）协同；二是预制食品高增长赛道布局；三是山东莱阳绿色食品集群区位与品牌；四是规模化屠宰产能。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猪周期下行致猪价低迷，屠宰与养殖盈利承压，为最主要风险。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原料价格波动、存货跌价、贸易业务收缩带来收入下滑。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资产负债率升至73.77%、经营现金流转负，短期偿债与流动性风险突出。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生猪养殖环保、食品安全生产为监管重点，公司资质完备。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战略聚焦预制食品、缩减贸易、控成本，并引入股东优化资本结构以改善偿债。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①生猪采购与冻肉库存的应收账款保理、仓单质押；②预制菜产线设备融资租赁；③缓解短期流动性的供应链金融与小贷；④养殖板块融资租赁。山东投资可围绕“肉食品+预制菜”产业链提供纾困与升级金融。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龙大美食是莱阳绿色食品集群骨干，全产业链与预制菜布局具基础，但2023年深陷猪周期亏损、负债高企，经营承压明显。预制食品逆势高增长是转型希望。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展望：若猪价回升、预制菜放量，盈利有望修复。建议坚定聚焦预制食品、压降贸易与负债、优化资本结构；山东投资可在风险可控前提下，以供应链金融与设备租赁支持其提质脱困。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龙大美食（002726.SZ）2021—2023年年度报告；东方财富、同花顺、搜狐财经等公开财务数据；行业公开报道。财务数据以年报披露为准。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