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菏泽鲁西新区新能源与储能装备特色产业集群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山东震裕新能源科技有限公司企业分析报告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公开披露公告、巨潮资讯网、东方财富、天眼查/爱企查/企查查、企业官网及权威媒体（齐鲁网、大众日报、滨州日报、菏泽日报、山东省发改委、新浪财经、经济导报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批次所列“山东震裕新能源科技有限公司”在菏泽鲁西新区的实际运营实体为山东震裕汽车部件有限公司，成立于2025年11月21日，法定代表人为刘光，统一社会信用代码91371700MAK1XRX16X，企业类型为有限责任公司（自然人投资或控股的法人独资），注册资本5,000万元，注册地址位于山东省菏泽市鲁西新区岳程街道台中路756号惯导及装备项目7、8号车间，登记机关为菏泽鲁西新区市场监督管理局，经营状态存续。该公司由宁波震裕科技股份有限公司（创业板上市公司，证券代码300953）100%持股，是震裕科技在菏泽布局的新能源电池精密结构件制造基地。实际控制人为震裕科技控股股东/董事长蒋震林、洪瑞娣夫妇。属民营控股、无国有出资人。（注：若以“山东震裕新能源科技有限公司”名义登记的主体与上述为同一集团不同主体，本报告以公开可查的菏泽运营实体山东震裕汽车部件有限公司为准进行分析。）</w:t>
      </w:r>
    </w:p>
    <w:p>
      <w:pPr>
        <w:spacing w:lineRule="exact" w:line="600" w:before="0" w:after="0"/>
        <w:ind w:firstLine="420"/>
        <w:jc w:val="both"/>
      </w:pPr>
      <w:r>
        <w:rPr>
          <w:rFonts w:ascii="仿宋_GB2312" w:hAnsi="仿宋_GB2312" w:eastAsia="仿宋_GB2312"/>
          <w:b w:val="0"/>
          <w:color w:val="000000"/>
          <w:sz w:val="32"/>
        </w:rPr>
        <w:t>股权结构：山东震裕汽车部件有限公司为震裕科技（300953）全资子公司（持股100%），穿透受蒋震林、洪瑞娣及其一致行动人（宁波震裕新能源有限公司、宁波聚信投资合伙企业）控制，实控人为蒋震林、洪瑞娣。</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公司为震裕科技全资子公司，承接其“锂电池精密结构件”板块在北方（山东）的产能布局；与母公司模具、电机铁芯、结构件事业部协同，内设生产、研发、质量与销售职能。</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震裕科技（前身1994年创立）于2021年3月在创业板上市（300953），是国内精密级进冲压模具及下游精密结构件龙头。2025年11月出资5,000万元成立山东震裕汽车部件有限公司，落子菏泽鲁西新区；2026年5月公开报道显示其生产车间已投产，全面达产后可年产5,000万件新能源电池精密结构件，精密级进冲压模具制造精度达0.002毫米（国际先进），并与动力锂电池行业头部企业深度合作。</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新能源电池精密结构件制造基地、震裕科技结构件板块北方核心工厂。主营业务为汽车零部件及配件制造、有色金属压延加工、电池制造、塑料制品制造、模具制造、五金产品研发制造及进出口；核心产品为新能源电池精密结构件（铝壳等），服务于动力锂电池与储能电池头部企业。</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聚焦新能源电池精密结构件（铝壳等），为震裕科技“精密结构件”板块的北方产能；母公司2025年精密结构件收入约79亿元（同比+38%），其中结构件约62—63亿元。山东基地全面达产后年产5,000万件新能源电池精密结构件。</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主导产品：新能源电池精密结构件（铝壳/盖板等），采用精密级进冲压模具制造（精度0.002毫米，国际先进）；并提供模具、冲压、压延加工一体化服务。产品直接配套动力锂电池与储能电池头部企业。</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下游为动力锂电池行业头部企业（公开报道“与动力锂电池行业头部企业达成深度合作”）；母公司前五大客户销售占比约69%（2023年），客户集中度高但层级优质（宁德时代等头部）。</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生产所需铝材、钢材、精密模具材料及设备为主要采购对象；母公司前五大供应商采购占比约54%（2023年），原材料价格与供应影响成本。</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山东基地全面达产可年产5,000万件新能源电池精密结构件；精密级进冲压模具制造精度0.002毫米（国际先进）。母公司震裕科技为国家级高新技术企业、模具行业精模奖常获企业，拥有省级研发中心与完善体系认证。</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以直销配套动力/储能锂电池头部企业为主，依托母公司全国统一客户与交付体系；菏泽基地就近服务北方客户。</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山东基地2025年11月才成立、处投产爬坡期，无独立财务数据；其贡献并入母公司震裕科技。母公司2025年精密结构件收入约79亿元、毛利率约15.5%，结构件满产满销、盈利拐点明确，山东基地为产能扩张重要支撑。</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山东震裕（菏泽）基地为震裕科技全资子公司，无独立财报；以下引用母公司宁波震裕科技股份有限公司（300953）2023—2025年年度报告公开数据，单位：亿元，供参照。</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154"/>
          </w:tcPr>
          <w:p>
            <w:pPr>
              <w:spacing w:lineRule="exact" w:line="600"/>
              <w:jc w:val="center"/>
            </w:pPr>
            <w:r/>
            <w:r>
              <w:rPr>
                <w:rFonts w:ascii="黑体" w:hAnsi="黑体" w:eastAsia="黑体"/>
                <w:b/>
                <w:color w:val="000000"/>
                <w:sz w:val="32"/>
              </w:rPr>
              <w:t>指标</w:t>
            </w:r>
          </w:p>
        </w:tc>
        <w:tc>
          <w:tcPr>
            <w:tcW w:type="dxa" w:w="2098"/>
          </w:tcPr>
          <w:p>
            <w:pPr>
              <w:spacing w:lineRule="exact" w:line="600"/>
              <w:jc w:val="center"/>
            </w:pPr>
            <w:r/>
            <w:r>
              <w:rPr>
                <w:rFonts w:ascii="黑体" w:hAnsi="黑体" w:eastAsia="黑体"/>
                <w:b/>
                <w:color w:val="000000"/>
                <w:sz w:val="32"/>
              </w:rPr>
              <w:t>2023年</w:t>
            </w:r>
          </w:p>
        </w:tc>
        <w:tc>
          <w:tcPr>
            <w:tcW w:type="dxa" w:w="2098"/>
          </w:tcPr>
          <w:p>
            <w:pPr>
              <w:spacing w:lineRule="exact" w:line="600"/>
              <w:jc w:val="center"/>
            </w:pPr>
            <w:r/>
            <w:r>
              <w:rPr>
                <w:rFonts w:ascii="黑体" w:hAnsi="黑体" w:eastAsia="黑体"/>
                <w:b/>
                <w:color w:val="000000"/>
                <w:sz w:val="32"/>
              </w:rPr>
              <w:t>2024年</w:t>
            </w:r>
          </w:p>
        </w:tc>
        <w:tc>
          <w:tcPr>
            <w:tcW w:type="dxa" w:w="2098"/>
          </w:tcPr>
          <w:p>
            <w:pPr>
              <w:spacing w:lineRule="exact" w:line="600"/>
              <w:jc w:val="center"/>
            </w:pPr>
            <w:r/>
            <w:r>
              <w:rPr>
                <w:rFonts w:ascii="黑体" w:hAnsi="黑体" w:eastAsia="黑体"/>
                <w:b/>
                <w:color w:val="000000"/>
                <w:sz w:val="32"/>
              </w:rPr>
              <w:t>2025年</w:t>
            </w:r>
          </w:p>
        </w:tc>
      </w:tr>
      <w:tr>
        <w:tc>
          <w:tcPr>
            <w:tcW w:type="dxa" w:w="2154"/>
          </w:tcPr>
          <w:p>
            <w:pPr>
              <w:spacing w:lineRule="exact" w:line="600"/>
              <w:jc w:val="center"/>
            </w:pPr>
            <w:r/>
            <w:r>
              <w:rPr>
                <w:rFonts w:ascii="仿宋_GB2312" w:hAnsi="仿宋_GB2312" w:eastAsia="仿宋_GB2312"/>
                <w:b w:val="0"/>
                <w:color w:val="000000"/>
                <w:sz w:val="32"/>
              </w:rPr>
              <w:t>营业收入</w:t>
            </w:r>
          </w:p>
        </w:tc>
        <w:tc>
          <w:tcPr>
            <w:tcW w:type="dxa" w:w="2098"/>
          </w:tcPr>
          <w:p>
            <w:pPr>
              <w:spacing w:lineRule="exact" w:line="600"/>
              <w:jc w:val="center"/>
            </w:pPr>
            <w:r/>
            <w:r>
              <w:rPr>
                <w:rFonts w:ascii="仿宋_GB2312" w:hAnsi="仿宋_GB2312" w:eastAsia="仿宋_GB2312"/>
                <w:b w:val="0"/>
                <w:color w:val="000000"/>
                <w:sz w:val="32"/>
              </w:rPr>
              <w:t>60.19</w:t>
            </w:r>
          </w:p>
        </w:tc>
        <w:tc>
          <w:tcPr>
            <w:tcW w:type="dxa" w:w="2098"/>
          </w:tcPr>
          <w:p>
            <w:pPr>
              <w:spacing w:lineRule="exact" w:line="600"/>
              <w:jc w:val="center"/>
            </w:pPr>
            <w:r/>
            <w:r>
              <w:rPr>
                <w:rFonts w:ascii="仿宋_GB2312" w:hAnsi="仿宋_GB2312" w:eastAsia="仿宋_GB2312"/>
                <w:b w:val="0"/>
                <w:color w:val="000000"/>
                <w:sz w:val="32"/>
              </w:rPr>
              <w:t>71.29</w:t>
            </w:r>
          </w:p>
        </w:tc>
        <w:tc>
          <w:tcPr>
            <w:tcW w:type="dxa" w:w="2098"/>
          </w:tcPr>
          <w:p>
            <w:pPr>
              <w:spacing w:lineRule="exact" w:line="600"/>
              <w:jc w:val="center"/>
            </w:pPr>
            <w:r/>
            <w:r>
              <w:rPr>
                <w:rFonts w:ascii="仿宋_GB2312" w:hAnsi="仿宋_GB2312" w:eastAsia="仿宋_GB2312"/>
                <w:b w:val="0"/>
                <w:color w:val="000000"/>
                <w:sz w:val="32"/>
              </w:rPr>
              <w:t>97.36</w:t>
            </w:r>
          </w:p>
        </w:tc>
      </w:tr>
      <w:tr>
        <w:tc>
          <w:tcPr>
            <w:tcW w:type="dxa" w:w="2154"/>
          </w:tcPr>
          <w:p>
            <w:pPr>
              <w:spacing w:lineRule="exact" w:line="600"/>
              <w:jc w:val="center"/>
            </w:pPr>
            <w:r/>
            <w:r>
              <w:rPr>
                <w:rFonts w:ascii="仿宋_GB2312" w:hAnsi="仿宋_GB2312" w:eastAsia="仿宋_GB2312"/>
                <w:b w:val="0"/>
                <w:color w:val="000000"/>
                <w:sz w:val="32"/>
              </w:rPr>
              <w:t>归母净利润</w:t>
            </w:r>
          </w:p>
        </w:tc>
        <w:tc>
          <w:tcPr>
            <w:tcW w:type="dxa" w:w="2098"/>
          </w:tcPr>
          <w:p>
            <w:pPr>
              <w:spacing w:lineRule="exact" w:line="600"/>
              <w:jc w:val="center"/>
            </w:pPr>
            <w:r/>
            <w:r>
              <w:rPr>
                <w:rFonts w:ascii="仿宋_GB2312" w:hAnsi="仿宋_GB2312" w:eastAsia="仿宋_GB2312"/>
                <w:b w:val="0"/>
                <w:color w:val="000000"/>
                <w:sz w:val="32"/>
              </w:rPr>
              <w:t>0.43</w:t>
            </w:r>
          </w:p>
        </w:tc>
        <w:tc>
          <w:tcPr>
            <w:tcW w:type="dxa" w:w="2098"/>
          </w:tcPr>
          <w:p>
            <w:pPr>
              <w:spacing w:lineRule="exact" w:line="600"/>
              <w:jc w:val="center"/>
            </w:pPr>
            <w:r/>
            <w:r>
              <w:rPr>
                <w:rFonts w:ascii="仿宋_GB2312" w:hAnsi="仿宋_GB2312" w:eastAsia="仿宋_GB2312"/>
                <w:b w:val="0"/>
                <w:color w:val="000000"/>
                <w:sz w:val="32"/>
              </w:rPr>
              <w:t>2.54</w:t>
            </w:r>
          </w:p>
        </w:tc>
        <w:tc>
          <w:tcPr>
            <w:tcW w:type="dxa" w:w="2098"/>
          </w:tcPr>
          <w:p>
            <w:pPr>
              <w:spacing w:lineRule="exact" w:line="600"/>
              <w:jc w:val="center"/>
            </w:pPr>
            <w:r/>
            <w:r>
              <w:rPr>
                <w:rFonts w:ascii="仿宋_GB2312" w:hAnsi="仿宋_GB2312" w:eastAsia="仿宋_GB2312"/>
                <w:b w:val="0"/>
                <w:color w:val="000000"/>
                <w:sz w:val="32"/>
              </w:rPr>
              <w:t>5.13</w:t>
            </w:r>
          </w:p>
        </w:tc>
      </w:tr>
      <w:tr>
        <w:tc>
          <w:tcPr>
            <w:tcW w:type="dxa" w:w="2154"/>
          </w:tcPr>
          <w:p>
            <w:pPr>
              <w:spacing w:lineRule="exact" w:line="600"/>
              <w:jc w:val="center"/>
            </w:pPr>
            <w:r/>
            <w:r>
              <w:rPr>
                <w:rFonts w:ascii="仿宋_GB2312" w:hAnsi="仿宋_GB2312" w:eastAsia="仿宋_GB2312"/>
                <w:b w:val="0"/>
                <w:color w:val="000000"/>
                <w:sz w:val="32"/>
              </w:rPr>
              <w:t>毛利率</w:t>
            </w:r>
          </w:p>
        </w:tc>
        <w:tc>
          <w:tcPr>
            <w:tcW w:type="dxa" w:w="2098"/>
          </w:tcPr>
          <w:p>
            <w:pPr>
              <w:spacing w:lineRule="exact" w:line="600"/>
              <w:jc w:val="center"/>
            </w:pPr>
            <w:r/>
            <w:r>
              <w:rPr>
                <w:rFonts w:ascii="仿宋_GB2312" w:hAnsi="仿宋_GB2312" w:eastAsia="仿宋_GB2312"/>
                <w:b w:val="0"/>
                <w:color w:val="000000"/>
                <w:sz w:val="32"/>
              </w:rPr>
              <w:t>11.92%</w:t>
            </w:r>
          </w:p>
        </w:tc>
        <w:tc>
          <w:tcPr>
            <w:tcW w:type="dxa" w:w="2098"/>
          </w:tcPr>
          <w:p>
            <w:pPr>
              <w:spacing w:lineRule="exact" w:line="600"/>
              <w:jc w:val="center"/>
            </w:pPr>
            <w:r/>
            <w:r>
              <w:rPr>
                <w:rFonts w:ascii="仿宋_GB2312" w:hAnsi="仿宋_GB2312" w:eastAsia="仿宋_GB2312"/>
                <w:b w:val="0"/>
                <w:color w:val="000000"/>
                <w:sz w:val="32"/>
              </w:rPr>
              <w:t>约13.9%</w:t>
            </w:r>
          </w:p>
        </w:tc>
        <w:tc>
          <w:tcPr>
            <w:tcW w:type="dxa" w:w="2098"/>
          </w:tcPr>
          <w:p>
            <w:pPr>
              <w:spacing w:lineRule="exact" w:line="600"/>
              <w:jc w:val="center"/>
            </w:pPr>
            <w:r/>
            <w:r>
              <w:rPr>
                <w:rFonts w:ascii="仿宋_GB2312" w:hAnsi="仿宋_GB2312" w:eastAsia="仿宋_GB2312"/>
                <w:b w:val="0"/>
                <w:color w:val="000000"/>
                <w:sz w:val="32"/>
              </w:rPr>
              <w:t>15.0%</w:t>
            </w:r>
          </w:p>
        </w:tc>
      </w:tr>
      <w:tr>
        <w:tc>
          <w:tcPr>
            <w:tcW w:type="dxa" w:w="2154"/>
          </w:tcPr>
          <w:p>
            <w:pPr>
              <w:spacing w:lineRule="exact" w:line="600"/>
              <w:jc w:val="center"/>
            </w:pPr>
            <w:r/>
            <w:r>
              <w:rPr>
                <w:rFonts w:ascii="仿宋_GB2312" w:hAnsi="仿宋_GB2312" w:eastAsia="仿宋_GB2312"/>
                <w:b w:val="0"/>
                <w:color w:val="000000"/>
                <w:sz w:val="32"/>
              </w:rPr>
              <w:t>经营现金流净额</w:t>
            </w:r>
          </w:p>
        </w:tc>
        <w:tc>
          <w:tcPr>
            <w:tcW w:type="dxa" w:w="2098"/>
          </w:tcPr>
          <w:p>
            <w:pPr>
              <w:spacing w:lineRule="exact" w:line="600"/>
              <w:jc w:val="center"/>
            </w:pPr>
            <w:r/>
            <w:r>
              <w:rPr>
                <w:rFonts w:ascii="仿宋_GB2312" w:hAnsi="仿宋_GB2312" w:eastAsia="仿宋_GB2312"/>
                <w:b w:val="0"/>
                <w:color w:val="000000"/>
                <w:sz w:val="32"/>
              </w:rPr>
              <w:t>-5.58</w:t>
            </w:r>
          </w:p>
        </w:tc>
        <w:tc>
          <w:tcPr>
            <w:tcW w:type="dxa" w:w="2098"/>
          </w:tcPr>
          <w:p>
            <w:pPr>
              <w:spacing w:lineRule="exact" w:line="600"/>
              <w:jc w:val="center"/>
            </w:pPr>
            <w:r/>
            <w:r>
              <w:rPr>
                <w:rFonts w:ascii="仿宋_GB2312" w:hAnsi="仿宋_GB2312" w:eastAsia="仿宋_GB2312"/>
                <w:b w:val="0"/>
                <w:color w:val="000000"/>
                <w:sz w:val="32"/>
              </w:rPr>
              <w:t>-4.97</w:t>
            </w:r>
          </w:p>
        </w:tc>
        <w:tc>
          <w:tcPr>
            <w:tcW w:type="dxa" w:w="2098"/>
          </w:tcPr>
          <w:p>
            <w:pPr>
              <w:spacing w:lineRule="exact" w:line="600"/>
              <w:jc w:val="center"/>
            </w:pPr>
            <w:r/>
            <w:r>
              <w:rPr>
                <w:rFonts w:ascii="仿宋_GB2312" w:hAnsi="仿宋_GB2312" w:eastAsia="仿宋_GB2312"/>
                <w:b w:val="0"/>
                <w:color w:val="000000"/>
                <w:sz w:val="32"/>
              </w:rPr>
              <w:t>3.70</w:t>
            </w:r>
          </w:p>
        </w:tc>
      </w:tr>
      <w:tr>
        <w:tc>
          <w:tcPr>
            <w:tcW w:type="dxa" w:w="2154"/>
          </w:tcPr>
          <w:p>
            <w:pPr>
              <w:spacing w:lineRule="exact" w:line="600"/>
              <w:jc w:val="center"/>
            </w:pPr>
            <w:r/>
            <w:r>
              <w:rPr>
                <w:rFonts w:ascii="仿宋_GB2312" w:hAnsi="仿宋_GB2312" w:eastAsia="仿宋_GB2312"/>
                <w:b w:val="0"/>
                <w:color w:val="000000"/>
                <w:sz w:val="32"/>
              </w:rPr>
              <w:t>总资产</w:t>
            </w:r>
          </w:p>
        </w:tc>
        <w:tc>
          <w:tcPr>
            <w:tcW w:type="dxa" w:w="2098"/>
          </w:tcPr>
          <w:p>
            <w:pPr>
              <w:spacing w:lineRule="exact" w:line="600"/>
              <w:jc w:val="center"/>
            </w:pPr>
            <w:r/>
            <w:r>
              <w:rPr>
                <w:rFonts w:ascii="仿宋_GB2312" w:hAnsi="仿宋_GB2312" w:eastAsia="仿宋_GB2312"/>
                <w:b w:val="0"/>
                <w:color w:val="000000"/>
                <w:sz w:val="32"/>
              </w:rPr>
              <w:t>109.24</w:t>
            </w:r>
          </w:p>
        </w:tc>
        <w:tc>
          <w:tcPr>
            <w:tcW w:type="dxa" w:w="2098"/>
          </w:tcPr>
          <w:p>
            <w:pPr>
              <w:spacing w:lineRule="exact" w:line="600"/>
              <w:jc w:val="center"/>
            </w:pPr>
            <w:r/>
            <w:r>
              <w:rPr>
                <w:rFonts w:ascii="仿宋_GB2312" w:hAnsi="仿宋_GB2312" w:eastAsia="仿宋_GB2312"/>
                <w:b w:val="0"/>
                <w:color w:val="000000"/>
                <w:sz w:val="32"/>
              </w:rPr>
              <w:t>114.26</w:t>
            </w:r>
          </w:p>
        </w:tc>
        <w:tc>
          <w:tcPr>
            <w:tcW w:type="dxa" w:w="2098"/>
          </w:tcPr>
          <w:p>
            <w:pPr>
              <w:spacing w:lineRule="exact" w:line="600"/>
              <w:jc w:val="center"/>
            </w:pPr>
            <w:r/>
            <w:r>
              <w:rPr>
                <w:rFonts w:ascii="仿宋_GB2312" w:hAnsi="仿宋_GB2312" w:eastAsia="仿宋_GB2312"/>
                <w:b w:val="0"/>
                <w:color w:val="000000"/>
                <w:sz w:val="32"/>
              </w:rPr>
              <w:t>130.43</w:t>
            </w:r>
          </w:p>
        </w:tc>
      </w:tr>
      <w:tr>
        <w:tc>
          <w:tcPr>
            <w:tcW w:type="dxa" w:w="2154"/>
          </w:tcPr>
          <w:p>
            <w:pPr>
              <w:spacing w:lineRule="exact" w:line="600"/>
              <w:jc w:val="center"/>
            </w:pPr>
            <w:r/>
            <w:r>
              <w:rPr>
                <w:rFonts w:ascii="仿宋_GB2312" w:hAnsi="仿宋_GB2312" w:eastAsia="仿宋_GB2312"/>
                <w:b w:val="0"/>
                <w:color w:val="000000"/>
                <w:sz w:val="32"/>
              </w:rPr>
              <w:t>归母净资产</w:t>
            </w:r>
          </w:p>
        </w:tc>
        <w:tc>
          <w:tcPr>
            <w:tcW w:type="dxa" w:w="2098"/>
          </w:tcPr>
          <w:p>
            <w:pPr>
              <w:spacing w:lineRule="exact" w:line="600"/>
              <w:jc w:val="center"/>
            </w:pPr>
            <w:r/>
            <w:r>
              <w:rPr>
                <w:rFonts w:ascii="仿宋_GB2312" w:hAnsi="仿宋_GB2312" w:eastAsia="仿宋_GB2312"/>
                <w:b w:val="0"/>
                <w:color w:val="000000"/>
                <w:sz w:val="32"/>
              </w:rPr>
              <w:t>26.34</w:t>
            </w:r>
          </w:p>
        </w:tc>
        <w:tc>
          <w:tcPr>
            <w:tcW w:type="dxa" w:w="2098"/>
          </w:tcPr>
          <w:p>
            <w:pPr>
              <w:spacing w:lineRule="exact" w:line="600"/>
              <w:jc w:val="center"/>
            </w:pPr>
            <w:r/>
            <w:r>
              <w:rPr>
                <w:rFonts w:ascii="仿宋_GB2312" w:hAnsi="仿宋_GB2312" w:eastAsia="仿宋_GB2312"/>
                <w:b w:val="0"/>
                <w:color w:val="000000"/>
                <w:sz w:val="32"/>
              </w:rPr>
              <w:t>29.93</w:t>
            </w:r>
          </w:p>
        </w:tc>
        <w:tc>
          <w:tcPr>
            <w:tcW w:type="dxa" w:w="2098"/>
          </w:tcPr>
          <w:p>
            <w:pPr>
              <w:spacing w:lineRule="exact" w:line="600"/>
              <w:jc w:val="center"/>
            </w:pPr>
            <w:r/>
            <w:r>
              <w:rPr>
                <w:rFonts w:ascii="仿宋_GB2312" w:hAnsi="仿宋_GB2312" w:eastAsia="仿宋_GB2312"/>
                <w:b w:val="0"/>
                <w:color w:val="000000"/>
                <w:sz w:val="32"/>
              </w:rPr>
              <w:t>44.45</w:t>
            </w:r>
          </w:p>
        </w:tc>
      </w:tr>
      <w:tr>
        <w:tc>
          <w:tcPr>
            <w:tcW w:type="dxa" w:w="2154"/>
          </w:tcPr>
          <w:p>
            <w:pPr>
              <w:spacing w:lineRule="exact" w:line="600"/>
              <w:jc w:val="center"/>
            </w:pPr>
            <w:r/>
            <w:r>
              <w:rPr>
                <w:rFonts w:ascii="仿宋_GB2312" w:hAnsi="仿宋_GB2312" w:eastAsia="仿宋_GB2312"/>
                <w:b w:val="0"/>
                <w:color w:val="000000"/>
                <w:sz w:val="32"/>
              </w:rPr>
              <w:t>资产负债率</w:t>
            </w:r>
          </w:p>
        </w:tc>
        <w:tc>
          <w:tcPr>
            <w:tcW w:type="dxa" w:w="2098"/>
          </w:tcPr>
          <w:p>
            <w:pPr>
              <w:spacing w:lineRule="exact" w:line="600"/>
              <w:jc w:val="center"/>
            </w:pPr>
            <w:r/>
            <w:r>
              <w:rPr>
                <w:rFonts w:ascii="仿宋_GB2312" w:hAnsi="仿宋_GB2312" w:eastAsia="仿宋_GB2312"/>
                <w:b w:val="0"/>
                <w:color w:val="000000"/>
                <w:sz w:val="32"/>
              </w:rPr>
              <w:t>约75.9%</w:t>
            </w:r>
          </w:p>
        </w:tc>
        <w:tc>
          <w:tcPr>
            <w:tcW w:type="dxa" w:w="2098"/>
          </w:tcPr>
          <w:p>
            <w:pPr>
              <w:spacing w:lineRule="exact" w:line="600"/>
              <w:jc w:val="center"/>
            </w:pPr>
            <w:r/>
            <w:r>
              <w:rPr>
                <w:rFonts w:ascii="仿宋_GB2312" w:hAnsi="仿宋_GB2312" w:eastAsia="仿宋_GB2312"/>
                <w:b w:val="0"/>
                <w:color w:val="000000"/>
                <w:sz w:val="32"/>
              </w:rPr>
              <w:t>约73.8%</w:t>
            </w:r>
          </w:p>
        </w:tc>
        <w:tc>
          <w:tcPr>
            <w:tcW w:type="dxa" w:w="2098"/>
          </w:tcPr>
          <w:p>
            <w:pPr>
              <w:spacing w:lineRule="exact" w:line="600"/>
              <w:jc w:val="center"/>
            </w:pPr>
            <w:r/>
            <w:r>
              <w:rPr>
                <w:rFonts w:ascii="仿宋_GB2312" w:hAnsi="仿宋_GB2312" w:eastAsia="仿宋_GB2312"/>
                <w:b w:val="0"/>
                <w:color w:val="000000"/>
                <w:sz w:val="32"/>
              </w:rPr>
              <w:t>约64.4%</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母公司震裕科技营收由2023年60.19亿元增至2025年97.36亿元（+36.58%），归母净利润由0.43亿元增至5.13亿元（+101.98%），毛利率由11.92%升至15.0%，盈利随储能/新能源需求与规模效应持续修复，结构件业务盈利拐点明确。</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2025年末总资产130.43亿元，归母净资产44.45亿元（+48.51%）；资产以固定资产、存货（2025年末约12.2亿元）、应收为主，重资产与营运资本并重。</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2025年资产负债率约64.4%（较2023年75.9%显著下降），负债结构随盈利与权益增长优化；仍处制造业中等偏上水平，需关注有息负债与扩产资本开支。</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经营现金流由2023年-5.58亿元、2024年-4.97亿元转为2025年+3.70亿元，首次大幅转正（+174.29%），回款与经营质量明显改善，但扩产资本开支仍较大。</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与科达利等锂电池精密结构件龙头相比，震裕科技营收近千亿级（97亿）、结构件满产满销、盈利修复，规模与成长性居行业前列；山东基地扩产进一步巩固配套能力。</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母公司震裕科技为创业板上市公司，治理规范，设董事会、监事会及审计/薪酬等委员会，定期披露年报；山东基地为其全资子公司，重大事项由母公司决策。</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母公司董事长蒋震林（实控人，2025年薪酬317万元）、总经理蒋宁；山东震裕汽车部件法定代表人刘光。核心团队产业与资本经验丰富。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按上市公司要求建立内控与信息披露体系，通过IATF16949等体系认证；作为电池结构件企业强化质量与安全生产内控。</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母公司2023年末员工6,028人；山东基地投产期招聘本地产业工人，依托母公司技术与培训体系。</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技术壁垒：精密级进冲压模具精度0.002毫米（国际先进），模具业务常年毛利率50%+，为结构件提供技术基石。二是客户壁垒：深度配套动力/储能锂电池头部企业，前五大客户占比约69%，客户层级优质。三是规模与盈利：母公司2025年结构件收入约79亿元、满产满销、盈利拐点明确。四是上市平台：创业板融资与品牌优势，支撑产能扩张（山东、墨西哥等基地）。五是区域布局：山东基地就近服务北方客户，完善“材料—电池—装备”菏泽储能产业链配套。</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客户集中风险：前五大客户占比约69%，依赖头部电池厂，订单波动影响大；应对为拓展多客户。二是下游周期风险：新能源车与储能需求波动影响结构件量价；应对为多元产品（铁芯、模具、机器人部件）。三是重资产与资金风险：扩产资本开支大，经营现金流转正不久，需关注偿债；应对为股权+债权组合融资。四是技术迭代风险：电池结构件技术迭代，须持续研发；应对为模具与工艺领先。五是合规风险：公开显示存在少量司法/开庭记录，需关注合同与应收账款管理。</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动力/储能锂电池头部客户的应收账款账期长，可开展保理融资（母公司2025经营现金流转正但仍可优化）。供应链金融：围绕核心企业为其上游铝材/模具供应商提供订单融资。融资租赁：山东基地精密冲压与模具设备适合直租/回租，支撑扩产。小贷：面向临时周转。震裕科技为创业板规范企业、结构件满产满销，山东基地是优质扩产项目，建议以“设备融资租赁+核心客户应收保理”切入，并以母公司合并口径评估负债后设定增信。</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震裕（菏泽）基地是震裕科技（300953）新能源电池精密结构件北方核心工厂，依托母公司技术（模具精度0.002毫米）、客户（头部电池厂）与规模（2025结构件约79亿元、盈利拐点），战略与配套价值突出；但处投产爬坡期、客户集中、重资产。发展展望：据行业趋势与公司规划，储能与新能源需求旺盛，母公司结构件2026年预计收入超100亿元，山东基地扩产将巩固配套能力。建议：一是对接产线设备融资租赁与核心客户应收保理；二是以母公司合并口径核查负债与现金流；三是关注客户集中、需求波动与回款风险，设置动态监测。</w:t>
      </w:r>
    </w:p>
    <w:p>
      <w:pPr>
        <w:spacing w:lineRule="exact" w:line="600" w:before="0" w:after="0"/>
        <w:jc w:val="left"/>
      </w:pPr>
      <w:r>
        <w:rPr>
          <w:rFonts w:ascii="仿宋_GB2312" w:hAnsi="仿宋_GB2312" w:eastAsia="仿宋_GB2312"/>
          <w:b w:val="0"/>
          <w:color w:val="000000"/>
          <w:sz w:val="28"/>
        </w:rPr>
        <w:t>数据来源说明：天眼查/爱企查（山东震裕汽车部件有限公司工商、股权）、震裕科技（300953）2023—2025年年度报告及摘要（巨潮资讯网/新浪财经/东方财富）、菏泽日报/大众日报（山东震裕汽车部件投产报道）、同花顺F10（股东与财务）。山东基地无独立财报，已引用母公司公开数据并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