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菏泽鲁西新区新能源与储能装备特色产业集群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海希储能科技(山东)有限公司企业分析报告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公开披露公告、巨潮资讯网、东方财富、天眼查/爱企查/企查查、企业官网及权威媒体（齐鲁网、大众日报、滨州日报、菏泽日报、山东省发改委、新浪财经、经济导报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海希储能科技（山东）有限公司成立于2023年7月19日，法定代表人为王小刚（原陈潮），统一社会信用代码91371700MACRB3D55C，企业类型为有限责任公司（自然人投资或控股的法人独资），注册资本18,000万元（实缴约5,000万元，2024年报口径），注册地址位于山东省菏泽市鲁西新区陈集镇长江东路南侧临港智能制造产业园内，登记机关为菏泽鲁西新区市场监督管理局，经营状态存续。参保人数约62人，增值税一般纳税人，小微企业。股东为海希新能源实业（江苏）有限公司（持股100%），穿透受上海海希工业通讯股份有限公司（北交所上市公司，证券代码920405）控制，为海希通讯在山东的储能核心平台（全资孙公司），实际控制人为海希通讯控股股东/核心团队。属民营控股、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公司为海希通讯体系内全资孙公司，设法定代表人（王小刚）、经理、财务负责人等；业务聚焦储能系统集成与新能源电池模组研发制造，承接菏泽5GWh新型储能系统制造基地。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2023年7月成立；作为海希通讯储能业务产能布局核心载体之一（与浙江湖州、重庆基地协同），建设5GWh钒液流及固态专用电芯项目。项目总投资32亿元、占地132亩、建筑面积10万平方米，主要建设钒液流储能电芯生产线2条、GW级固态电池示范生产线1条、浸没式储能系统生产线4条；2026年报道显示5GWh新型储能系统制造基地已实现满产运营/投产达效。</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新型储能系统制造基地、菏泽鲁西新区储能装备集群系统集成领域重点企业。主营业务为工程和技术研究、电池制造与销售、储能技术服务、智能控制系统集成、输配电及控制设备制造、电池零配件生产销售、电子专用设备制造及货物/技术进出口；并持有发电、输电、供配电等许可项目。核心方向为钒液流储能电芯、GW级固态电池示范与浸没式储能系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业务涵盖钒液流储能电芯、GW级固态电池示范、浸没式储能系统三大方向；规划年产储能专用电芯5GWh、浸没式模组pack及储能系统装备3,000套。公司未公开披露分产品收入占比。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钒液流储能电芯（体积小、无易燃材质、寿命30年、循环&gt;2万次、衰减&lt;5%）、GW级固态电池（能量密度500Wh/kg）、浸没式储能系统（突破传统冷板式液冷，能耗降50%）。拥有储能液冷电池包、浸没式液冷液位管理系统等创新专利产品，在电池散热与管道清洁方面具专业优势。</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下游为新能源电站、独立储能、工商业储能等；产品通过海希通讯体系交付，配套储能系统集成客户。（注：公开报道曾涉及与*ST恒久的产线租赁关联交易争议，提示需关注合规履约。）</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生产所需钒资源、固态电池材料、电子元器件、液冷组件及设备为主要采购对象；钒液流与固态路线原材料供应与价格影响成本。</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菏泽基地总投资32亿元、占地132亩、建筑面积10万平方米，建钒液流电芯线2条、GW级固态电池示范线1条、浸没式系统线4条，年产储能专用电芯5GWh、模组pack及系统装备3,000套；2026年报道5GWh新型储能系统制造基地已投产达效/满产运营。获2025年国家级高新技术企业、2026年省级创新型中小企业资质，拥有多项储能技术专利。</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依托海希通讯（北交所920405）体系协同（浙江湖州、重庆、山东菏泽基地互补），以储能系统集成与“以销定产”模式对接客户。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海希储能（山东）为非上市孙公司，财务数据未公开披露，无公开营收、利润数据。其母公司海希通讯（920405）2025年前三季度营业收入4.14亿元（同比+23.5%）、归母净利润4,809万元（同比+9.0%）；为下属公司提供担保额度不超12亿元。山东基地5GWh产能达效后，成为国内较大规模钒液流储能电芯生产基地之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海希储能（山东）为非上市孙公司，近三年财务未公开披露；以下列公开工商与项目信息，并引用母公司上海海希工业通讯股份有限公司（北交所920405）公开财报作参照，单位：万元，不作编造。</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海希储能(山东)</w:t>
            </w:r>
          </w:p>
        </w:tc>
        <w:tc>
          <w:tcPr>
            <w:tcW w:type="dxa" w:w="3118"/>
          </w:tcPr>
          <w:p>
            <w:pPr>
              <w:spacing w:lineRule="exact" w:line="600"/>
              <w:jc w:val="center"/>
            </w:pPr>
            <w:r/>
            <w:r>
              <w:rPr>
                <w:rFonts w:ascii="黑体" w:hAnsi="黑体" w:eastAsia="黑体"/>
                <w:b/>
                <w:color w:val="000000"/>
                <w:sz w:val="32"/>
              </w:rPr>
              <w:t>母公司海希通讯(920405)</w:t>
            </w:r>
          </w:p>
        </w:tc>
      </w:tr>
      <w:tr>
        <w:tc>
          <w:tcPr>
            <w:tcW w:type="dxa" w:w="2268"/>
          </w:tcPr>
          <w:p>
            <w:pPr>
              <w:spacing w:lineRule="exact" w:line="600"/>
              <w:jc w:val="center"/>
            </w:pPr>
            <w:r/>
            <w:r>
              <w:rPr>
                <w:rFonts w:ascii="仿宋_GB2312" w:hAnsi="仿宋_GB2312" w:eastAsia="仿宋_GB2312"/>
                <w:b w:val="0"/>
                <w:color w:val="000000"/>
                <w:sz w:val="32"/>
              </w:rPr>
              <w:t>注册资本</w:t>
            </w:r>
          </w:p>
        </w:tc>
        <w:tc>
          <w:tcPr>
            <w:tcW w:type="dxa" w:w="3118"/>
          </w:tcPr>
          <w:p>
            <w:pPr>
              <w:spacing w:lineRule="exact" w:line="600"/>
              <w:jc w:val="center"/>
            </w:pPr>
            <w:r/>
            <w:r>
              <w:rPr>
                <w:rFonts w:ascii="仿宋_GB2312" w:hAnsi="仿宋_GB2312" w:eastAsia="仿宋_GB2312"/>
                <w:b w:val="0"/>
                <w:color w:val="000000"/>
                <w:sz w:val="32"/>
              </w:rPr>
              <w:t>18,000（实缴约5,000）</w:t>
            </w:r>
          </w:p>
        </w:tc>
        <w:tc>
          <w:tcPr>
            <w:tcW w:type="dxa" w:w="3118"/>
          </w:tcPr>
          <w:p>
            <w:pPr>
              <w:spacing w:lineRule="exact" w:line="600"/>
              <w:jc w:val="center"/>
            </w:pPr>
            <w:r/>
            <w:r>
              <w:rPr>
                <w:rFonts w:ascii="仿宋_GB2312" w:hAnsi="仿宋_GB2312" w:eastAsia="仿宋_GB2312"/>
                <w:b w:val="0"/>
                <w:color w:val="000000"/>
                <w:sz w:val="32"/>
              </w:rPr>
              <w:t>—</w:t>
            </w:r>
          </w:p>
        </w:tc>
      </w:tr>
      <w:tr>
        <w:tc>
          <w:tcPr>
            <w:tcW w:type="dxa" w:w="2268"/>
          </w:tcPr>
          <w:p>
            <w:pPr>
              <w:spacing w:lineRule="exact" w:line="600"/>
              <w:jc w:val="center"/>
            </w:pPr>
            <w:r/>
            <w:r>
              <w:rPr>
                <w:rFonts w:ascii="仿宋_GB2312" w:hAnsi="仿宋_GB2312" w:eastAsia="仿宋_GB2312"/>
                <w:b w:val="0"/>
                <w:color w:val="000000"/>
                <w:sz w:val="32"/>
              </w:rPr>
              <w:t>成立时间</w:t>
            </w:r>
          </w:p>
        </w:tc>
        <w:tc>
          <w:tcPr>
            <w:tcW w:type="dxa" w:w="3118"/>
          </w:tcPr>
          <w:p>
            <w:pPr>
              <w:spacing w:lineRule="exact" w:line="600"/>
              <w:jc w:val="center"/>
            </w:pPr>
            <w:r/>
            <w:r>
              <w:rPr>
                <w:rFonts w:ascii="仿宋_GB2312" w:hAnsi="仿宋_GB2312" w:eastAsia="仿宋_GB2312"/>
                <w:b w:val="0"/>
                <w:color w:val="000000"/>
                <w:sz w:val="32"/>
              </w:rPr>
              <w:t>2023-07-19</w:t>
            </w:r>
          </w:p>
        </w:tc>
        <w:tc>
          <w:tcPr>
            <w:tcW w:type="dxa" w:w="3118"/>
          </w:tcPr>
          <w:p>
            <w:pPr>
              <w:spacing w:lineRule="exact" w:line="600"/>
              <w:jc w:val="center"/>
            </w:pPr>
            <w:r/>
            <w:r>
              <w:rPr>
                <w:rFonts w:ascii="仿宋_GB2312" w:hAnsi="仿宋_GB2312" w:eastAsia="仿宋_GB2312"/>
                <w:b w:val="0"/>
                <w:color w:val="000000"/>
                <w:sz w:val="32"/>
              </w:rPr>
              <w:t>北交所上市</w:t>
            </w:r>
          </w:p>
        </w:tc>
      </w:tr>
      <w:tr>
        <w:tc>
          <w:tcPr>
            <w:tcW w:type="dxa" w:w="2268"/>
          </w:tcPr>
          <w:p>
            <w:pPr>
              <w:spacing w:lineRule="exact" w:line="600"/>
              <w:jc w:val="center"/>
            </w:pPr>
            <w:r/>
            <w:r>
              <w:rPr>
                <w:rFonts w:ascii="仿宋_GB2312" w:hAnsi="仿宋_GB2312" w:eastAsia="仿宋_GB2312"/>
                <w:b w:val="0"/>
                <w:color w:val="000000"/>
                <w:sz w:val="32"/>
              </w:rPr>
              <w:t>总投资/基地</w:t>
            </w:r>
          </w:p>
        </w:tc>
        <w:tc>
          <w:tcPr>
            <w:tcW w:type="dxa" w:w="3118"/>
          </w:tcPr>
          <w:p>
            <w:pPr>
              <w:spacing w:lineRule="exact" w:line="600"/>
              <w:jc w:val="center"/>
            </w:pPr>
            <w:r/>
            <w:r>
              <w:rPr>
                <w:rFonts w:ascii="仿宋_GB2312" w:hAnsi="仿宋_GB2312" w:eastAsia="仿宋_GB2312"/>
                <w:b w:val="0"/>
                <w:color w:val="000000"/>
                <w:sz w:val="32"/>
              </w:rPr>
              <w:t>32亿元/5GWh</w:t>
            </w:r>
          </w:p>
        </w:tc>
        <w:tc>
          <w:tcPr>
            <w:tcW w:type="dxa" w:w="3118"/>
          </w:tcPr>
          <w:p>
            <w:pPr>
              <w:spacing w:lineRule="exact" w:line="600"/>
              <w:jc w:val="center"/>
            </w:pPr>
            <w:r/>
            <w:r>
              <w:rPr>
                <w:rFonts w:ascii="仿宋_GB2312" w:hAnsi="仿宋_GB2312" w:eastAsia="仿宋_GB2312"/>
                <w:b w:val="0"/>
                <w:color w:val="000000"/>
                <w:sz w:val="32"/>
              </w:rPr>
              <w:t>—</w:t>
            </w:r>
          </w:p>
        </w:tc>
      </w:tr>
      <w:tr>
        <w:tc>
          <w:tcPr>
            <w:tcW w:type="dxa" w:w="2268"/>
          </w:tcPr>
          <w:p>
            <w:pPr>
              <w:spacing w:lineRule="exact" w:line="600"/>
              <w:jc w:val="center"/>
            </w:pPr>
            <w:r/>
            <w:r>
              <w:rPr>
                <w:rFonts w:ascii="仿宋_GB2312" w:hAnsi="仿宋_GB2312" w:eastAsia="仿宋_GB2312"/>
                <w:b w:val="0"/>
                <w:color w:val="000000"/>
                <w:sz w:val="32"/>
              </w:rPr>
              <w:t>2025前三季度营收</w:t>
            </w:r>
          </w:p>
        </w:tc>
        <w:tc>
          <w:tcPr>
            <w:tcW w:type="dxa" w:w="3118"/>
          </w:tcPr>
          <w:p>
            <w:pPr>
              <w:spacing w:lineRule="exact" w:line="600"/>
              <w:jc w:val="center"/>
            </w:pPr>
            <w:r/>
            <w:r>
              <w:rPr>
                <w:rFonts w:ascii="仿宋_GB2312" w:hAnsi="仿宋_GB2312" w:eastAsia="仿宋_GB2312"/>
                <w:b w:val="0"/>
                <w:color w:val="000000"/>
                <w:sz w:val="32"/>
              </w:rPr>
              <w:t>未公开</w:t>
            </w:r>
          </w:p>
        </w:tc>
        <w:tc>
          <w:tcPr>
            <w:tcW w:type="dxa" w:w="3118"/>
          </w:tcPr>
          <w:p>
            <w:pPr>
              <w:spacing w:lineRule="exact" w:line="600"/>
              <w:jc w:val="center"/>
            </w:pPr>
            <w:r/>
            <w:r>
              <w:rPr>
                <w:rFonts w:ascii="仿宋_GB2312" w:hAnsi="仿宋_GB2312" w:eastAsia="仿宋_GB2312"/>
                <w:b w:val="0"/>
                <w:color w:val="000000"/>
                <w:sz w:val="32"/>
              </w:rPr>
              <w:t>约41,400</w:t>
            </w:r>
          </w:p>
        </w:tc>
      </w:tr>
      <w:tr>
        <w:tc>
          <w:tcPr>
            <w:tcW w:type="dxa" w:w="2268"/>
          </w:tcPr>
          <w:p>
            <w:pPr>
              <w:spacing w:lineRule="exact" w:line="600"/>
              <w:jc w:val="center"/>
            </w:pPr>
            <w:r/>
            <w:r>
              <w:rPr>
                <w:rFonts w:ascii="仿宋_GB2312" w:hAnsi="仿宋_GB2312" w:eastAsia="仿宋_GB2312"/>
                <w:b w:val="0"/>
                <w:color w:val="000000"/>
                <w:sz w:val="32"/>
              </w:rPr>
              <w:t>2025前三季度归母净利</w:t>
            </w:r>
          </w:p>
        </w:tc>
        <w:tc>
          <w:tcPr>
            <w:tcW w:type="dxa" w:w="3118"/>
          </w:tcPr>
          <w:p>
            <w:pPr>
              <w:spacing w:lineRule="exact" w:line="600"/>
              <w:jc w:val="center"/>
            </w:pPr>
            <w:r/>
            <w:r>
              <w:rPr>
                <w:rFonts w:ascii="仿宋_GB2312" w:hAnsi="仿宋_GB2312" w:eastAsia="仿宋_GB2312"/>
                <w:b w:val="0"/>
                <w:color w:val="000000"/>
                <w:sz w:val="32"/>
              </w:rPr>
              <w:t>未公开</w:t>
            </w:r>
          </w:p>
        </w:tc>
        <w:tc>
          <w:tcPr>
            <w:tcW w:type="dxa" w:w="3118"/>
          </w:tcPr>
          <w:p>
            <w:pPr>
              <w:spacing w:lineRule="exact" w:line="600"/>
              <w:jc w:val="center"/>
            </w:pPr>
            <w:r/>
            <w:r>
              <w:rPr>
                <w:rFonts w:ascii="仿宋_GB2312" w:hAnsi="仿宋_GB2312" w:eastAsia="仿宋_GB2312"/>
                <w:b w:val="0"/>
                <w:color w:val="000000"/>
                <w:sz w:val="32"/>
              </w:rPr>
              <w:t>约4,809</w:t>
            </w:r>
          </w:p>
        </w:tc>
      </w:tr>
      <w:tr>
        <w:tc>
          <w:tcPr>
            <w:tcW w:type="dxa" w:w="2268"/>
          </w:tcPr>
          <w:p>
            <w:pPr>
              <w:spacing w:lineRule="exact" w:line="600"/>
              <w:jc w:val="center"/>
            </w:pPr>
            <w:r/>
            <w:r>
              <w:rPr>
                <w:rFonts w:ascii="仿宋_GB2312" w:hAnsi="仿宋_GB2312" w:eastAsia="仿宋_GB2312"/>
                <w:b w:val="0"/>
                <w:color w:val="000000"/>
                <w:sz w:val="32"/>
              </w:rPr>
              <w:t>担保额度</w:t>
            </w:r>
          </w:p>
        </w:tc>
        <w:tc>
          <w:tcPr>
            <w:tcW w:type="dxa" w:w="3118"/>
          </w:tcPr>
          <w:p>
            <w:pPr>
              <w:spacing w:lineRule="exact" w:line="600"/>
              <w:jc w:val="center"/>
            </w:pPr>
            <w:r/>
            <w:r>
              <w:rPr>
                <w:rFonts w:ascii="仿宋_GB2312" w:hAnsi="仿宋_GB2312" w:eastAsia="仿宋_GB2312"/>
                <w:b w:val="0"/>
                <w:color w:val="000000"/>
                <w:sz w:val="32"/>
              </w:rPr>
              <w:t>—</w:t>
            </w:r>
          </w:p>
        </w:tc>
        <w:tc>
          <w:tcPr>
            <w:tcW w:type="dxa" w:w="3118"/>
          </w:tcPr>
          <w:p>
            <w:pPr>
              <w:spacing w:lineRule="exact" w:line="600"/>
              <w:jc w:val="center"/>
            </w:pPr>
            <w:r/>
            <w:r>
              <w:rPr>
                <w:rFonts w:ascii="仿宋_GB2312" w:hAnsi="仿宋_GB2312" w:eastAsia="仿宋_GB2312"/>
                <w:b w:val="0"/>
                <w:color w:val="000000"/>
                <w:sz w:val="32"/>
              </w:rPr>
              <w:t>不超120,000</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海希储能（山东）财务未公开；母公司海希通讯2025年前三季度营收4.14亿元（+23.5%）、归母净利4,809万元（+9.0%），储能业务处投入与爬坡期，盈利贡献待释放。</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无公开资产数据。32亿元基地建设形成较大固定资产，重资产属性明显。</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无公开负债数据。母公司为下属公司提供不超12亿元担保额度，反映杠杆与融资支持；授信需核查关联担保。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无公开现金流数据。基地建设期资本开支大，经营性现金流转正需待产能达效与回款。</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与山东海辰储能（30GWh电芯+20GWh系统）、壹连科技等鲁西新区储能企业相比，海希储能（山东）以5GWh钒液流/固态特色电芯+浸没式系统差异化定位，规模较小但技术路线独特。</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自然人投资或控股的法人独资，由海希通讯体系管控；2025年12月法定代表人由陈潮变更为王小刚，治理与北交所上市母公司接轨，落实合规与信息披露要求。</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法定代表人/经理王小刚；核心团队来自海希通讯；作为上市公司体系内企业，管理规范度较高。</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作为电池制造企业，建立质量、安全与环保内控；需关注此前与*ST恒久的产线租赁关联交易争议，强化合规履约管理。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参保约62人，人员规模50—99人，以技术与生产为主；高新技术企业资质下应具备研发团队。</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路线差异化：钒液流（寿命30年、循环&gt;2万次）+GW级固态电池（500Wh/kg）+浸没式液冷系统，技术门槛与安全性突出。二是上市母公司赋能：背靠北交所上市公司海希通讯，资本、品牌与渠道协同。三是产能先发：5GWh基地达效，国内较大规模钒液流储能电芯生产基地之一。四是专利与资质：储能液冷/浸没式专利、国家级高新技术企业、省级创新型中小企业。五是区域集群：位于鲁西新区储能装备集群，与海辰等链主协同配套。</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技术产业化风险：钒液流与固态电池仍处示范/早期量产，良率、成本与商业化存不确定性；应对为示范线验证与降本。二是跨界与合规风险：曾与*ST恒久产线租赁关联交易“翻车”，须强化合规履约；应对为规范关联交易与合同管理。三是重资产与资金风险：32亿元投资资本开支大，依赖母公司担保与融资；应对为多元融资。四是价格竞争风险：储能行业产能扩张、价格下行；应对为差异化技术定位。五是客户与回款风险：电站大客户账期长。</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储能系统客户的应收账款可开展保理。供应链金融：围绕核心企业为其上游材料/设备供应商提供订单融资。融资租赁：钒液流/固态产线与浸没式系统设备适合直租/回租。小贷：面向临时周转。海希储能（山东）技术路线独特、背靠北交所上市公司，是特色重点客户，建议以“设备融资租赁+供应链金融”切入，并关注关联交易合规与母公司担保能力。</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海希储能（山东）是鲁西新区储能装备集群的系统集成特色企业，5GWh钒液流/固态基地达效、技术路线差异化、背靠北交所上市公司，战略价值突出；但处产业化早期、重资产、曾涉关联交易争议、财务不透明。发展展望：据行业趋势，长时储能与新型储能技术需求增长，钒液流/固态路线具备长期空间，基地达产将提升规模。建议：一是对接产线设备融资租赁与供应链金融；二是核查母公司担保与关联交易合规性；三是关注技术产业化、价格竞争与回款风险，设置动态监测。</w:t>
      </w:r>
    </w:p>
    <w:p>
      <w:pPr>
        <w:spacing w:lineRule="exact" w:line="600" w:before="0" w:after="0"/>
        <w:jc w:val="left"/>
      </w:pPr>
      <w:r>
        <w:rPr>
          <w:rFonts w:ascii="仿宋_GB2312" w:hAnsi="仿宋_GB2312" w:eastAsia="仿宋_GB2312"/>
          <w:b w:val="0"/>
          <w:color w:val="000000"/>
          <w:sz w:val="28"/>
        </w:rPr>
        <w:t>数据来源说明：天眼查/爱企查/企查查（工商、股权、资质、专利）、北交所公告（海希通讯担保及工商变更，920405）、东方财富公告、大众日报/鲁西新区报道（5GWh基地达效）、储能行业媒体 esplaza。财务数据未公开披露，已如实标注并引用母公司公开财报参照。</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